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CA258C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E558D2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F16D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6D12" w:rsidRPr="00F16D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Învățător</w:t>
      </w:r>
    </w:p>
    <w:p w14:paraId="3D4CB64A" w14:textId="0885062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D71DC" w:rsidRPr="00FD71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D7755E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16D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234102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17A58E08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16D12">
        <w:rPr>
          <w:rFonts w:asciiTheme="minorHAnsi" w:hAnsiTheme="minorHAnsi" w:cstheme="minorHAnsi"/>
          <w:color w:val="000000" w:themeColor="text1"/>
          <w:sz w:val="20"/>
          <w:szCs w:val="20"/>
        </w:rPr>
        <w:t>directorului, directorului adjunct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B87B52C" w:rsidR="00600661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F16D12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învățământ;</w:t>
      </w:r>
    </w:p>
    <w:p w14:paraId="703E0F88" w14:textId="60F8E7FA" w:rsidR="00F16D12" w:rsidRPr="008E34AE" w:rsidRDefault="00F16D12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unității școlare la activități/concursuri/festivaluri etc.</w:t>
      </w:r>
    </w:p>
    <w:p w14:paraId="1A670D1A" w14:textId="76F10C79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16D12">
        <w:rPr>
          <w:rFonts w:asciiTheme="minorHAnsi" w:hAnsiTheme="minorHAnsi" w:cstheme="minorHAnsi"/>
          <w:color w:val="000000" w:themeColor="text1"/>
          <w:sz w:val="20"/>
          <w:szCs w:val="20"/>
        </w:rPr>
        <w:t>instrui și a educa copiii în conformitate cu cerințele Legii din domeniul învățământului.</w:t>
      </w:r>
      <w:r w:rsidR="00CA258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0FB14F7A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2042A941" w14:textId="703EB998" w:rsidR="00C6530E" w:rsidRDefault="00C6530E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162EFE9" w14:textId="405F5CD3" w:rsidR="00C6530E" w:rsidRDefault="00C6530E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PROIECTAREA ACTIVITĂȚII – ELEMENTE DE COMPETENȚĂ</w:t>
      </w:r>
    </w:p>
    <w:p w14:paraId="6FB82EE6" w14:textId="7B9ED09F" w:rsidR="00DE04AC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530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respectarea programei școlare, a normelor de elaborare a documentelor de proiectare, precum și adaptarea acesteia la particularitățile clasei;</w:t>
      </w:r>
    </w:p>
    <w:p w14:paraId="16B659A0" w14:textId="2827E1CB" w:rsid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implicarea în activitățile de proiectare a ofertei educaționale la nivelul unității;</w:t>
      </w:r>
    </w:p>
    <w:p w14:paraId="1D0DFB8B" w14:textId="630C62A1" w:rsid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folosirea tehnologiei informării și comunicării (TIC) în activitatea de proiectare;</w:t>
      </w:r>
    </w:p>
    <w:p w14:paraId="4A165D75" w14:textId="0A3D2313" w:rsid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proiectarea unor activități extracurriculare corelate cu obiectivele curriculare, nevoile și interesele educabililor, planul managerial al unității;</w:t>
      </w:r>
    </w:p>
    <w:p w14:paraId="5A3057C0" w14:textId="77777777" w:rsid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530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ACTIVITĂȚILE DIDACTICE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CURRICULARE ȘI EXTRACURRICULARE</w:t>
      </w:r>
    </w:p>
    <w:p w14:paraId="1AB3E9E8" w14:textId="32786554" w:rsidR="00C6530E" w:rsidRP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6530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6530E">
        <w:rPr>
          <w:rFonts w:asciiTheme="minorHAnsi" w:hAnsiTheme="minorHAnsi" w:cstheme="minorHAnsi"/>
          <w:sz w:val="20"/>
          <w:szCs w:val="20"/>
        </w:rPr>
        <w:t>tilizarea unor strategii didactice care asigură caracterul aplicativ al învățării și fo</w:t>
      </w:r>
      <w:r w:rsidR="00615902">
        <w:rPr>
          <w:rFonts w:asciiTheme="minorHAnsi" w:hAnsiTheme="minorHAnsi" w:cstheme="minorHAnsi"/>
          <w:sz w:val="20"/>
          <w:szCs w:val="20"/>
        </w:rPr>
        <w:t>rmarea competențelor specifice;</w:t>
      </w:r>
    </w:p>
    <w:p w14:paraId="2A2B5451" w14:textId="5810BEC9" w:rsidR="00C6530E" w:rsidRP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6530E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6530E">
        <w:rPr>
          <w:rFonts w:asciiTheme="minorHAnsi" w:hAnsiTheme="minorHAnsi" w:cstheme="minorHAnsi"/>
          <w:sz w:val="20"/>
          <w:szCs w:val="20"/>
        </w:rPr>
        <w:t>tilizarea eficientă a resurselor materiale din unitatea de învățământ în vederea optimizării activităților didac</w:t>
      </w:r>
      <w:r w:rsidR="00615902">
        <w:rPr>
          <w:rFonts w:asciiTheme="minorHAnsi" w:hAnsiTheme="minorHAnsi" w:cstheme="minorHAnsi"/>
          <w:sz w:val="20"/>
          <w:szCs w:val="20"/>
        </w:rPr>
        <w:t>tice-inclusiv a resurselor TIC;</w:t>
      </w:r>
    </w:p>
    <w:p w14:paraId="5F0D12C9" w14:textId="74438D6C" w:rsidR="00C6530E" w:rsidRP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6530E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C6530E">
        <w:rPr>
          <w:rFonts w:asciiTheme="minorHAnsi" w:hAnsiTheme="minorHAnsi" w:cstheme="minorHAnsi"/>
          <w:sz w:val="20"/>
          <w:szCs w:val="20"/>
        </w:rPr>
        <w:t>iseminarea, evaluarea și valor</w:t>
      </w:r>
      <w:r w:rsidR="00615902">
        <w:rPr>
          <w:rFonts w:asciiTheme="minorHAnsi" w:hAnsiTheme="minorHAnsi" w:cstheme="minorHAnsi"/>
          <w:sz w:val="20"/>
          <w:szCs w:val="20"/>
        </w:rPr>
        <w:t>izarea activităților realizate;</w:t>
      </w:r>
    </w:p>
    <w:p w14:paraId="18FA0AFD" w14:textId="7C752DDA" w:rsidR="00C6530E" w:rsidRPr="00C6530E" w:rsidRDefault="00C6530E" w:rsidP="00C6530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6530E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C6530E">
        <w:rPr>
          <w:rFonts w:asciiTheme="minorHAnsi" w:hAnsiTheme="minorHAnsi" w:cstheme="minorHAnsi"/>
          <w:sz w:val="20"/>
          <w:szCs w:val="20"/>
        </w:rPr>
        <w:t>rganizarea și desfășurarea activităților extracurriculare, participarea la acțiuni de volunta</w:t>
      </w:r>
      <w:r w:rsidR="00615902">
        <w:rPr>
          <w:rFonts w:asciiTheme="minorHAnsi" w:hAnsiTheme="minorHAnsi" w:cstheme="minorHAnsi"/>
          <w:sz w:val="20"/>
          <w:szCs w:val="20"/>
        </w:rPr>
        <w:t>riat;</w:t>
      </w:r>
    </w:p>
    <w:p w14:paraId="60091EF2" w14:textId="2A4A0D53" w:rsidR="00C6530E" w:rsidRDefault="00C6530E" w:rsidP="0061590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6530E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f</w:t>
      </w:r>
      <w:r w:rsidRPr="00C6530E">
        <w:rPr>
          <w:rFonts w:asciiTheme="minorHAnsi" w:hAnsiTheme="minorHAnsi" w:cstheme="minorHAnsi"/>
          <w:sz w:val="20"/>
          <w:szCs w:val="20"/>
        </w:rPr>
        <w:t>ormarea deprinderilor de studiu individual și în echipă în vederea formării/</w:t>
      </w:r>
      <w:r w:rsidR="00615902">
        <w:rPr>
          <w:rFonts w:asciiTheme="minorHAnsi" w:hAnsiTheme="minorHAnsi" w:cstheme="minorHAnsi"/>
          <w:sz w:val="20"/>
          <w:szCs w:val="20"/>
        </w:rPr>
        <w:t>dezvoltării competenței de ,,a î</w:t>
      </w:r>
      <w:r w:rsidRPr="00C6530E">
        <w:rPr>
          <w:rFonts w:asciiTheme="minorHAnsi" w:hAnsiTheme="minorHAnsi" w:cstheme="minorHAnsi"/>
          <w:sz w:val="20"/>
          <w:szCs w:val="20"/>
        </w:rPr>
        <w:t>nvăța să înveți”.</w:t>
      </w:r>
    </w:p>
    <w:p w14:paraId="6A06B353" w14:textId="77777777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530E">
        <w:rPr>
          <w:rFonts w:asciiTheme="minorHAnsi" w:hAnsiTheme="minorHAnsi" w:cstheme="minorHAnsi"/>
          <w:b/>
          <w:sz w:val="20"/>
          <w:szCs w:val="20"/>
        </w:rPr>
        <w:t xml:space="preserve">EVALUAREA REZULTATELOR ÎNVĂŢĂRII </w:t>
      </w:r>
    </w:p>
    <w:p w14:paraId="1E1A776F" w14:textId="7CD4C7D8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ro-RO"/>
        </w:rPr>
        <w:t>a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sigurarea transparenței criteriilor, a procedurilor de evaluare și a rezultat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elor activităților de evaluare;</w:t>
      </w:r>
    </w:p>
    <w:p w14:paraId="78648F99" w14:textId="64A8DC02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ro-RO"/>
        </w:rPr>
        <w:t>a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plicarea testelor predictive, interpretar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ea și comunicarea rezultatelor;</w:t>
      </w:r>
    </w:p>
    <w:p w14:paraId="44E5DC37" w14:textId="694E24B1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ro-RO"/>
        </w:rPr>
        <w:t>u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tilizarea diverselor instrumente de evaluare, inclusiv a celor din banca de instrumente de evaluare unică. </w:t>
      </w:r>
    </w:p>
    <w:p w14:paraId="413DF8BB" w14:textId="6A7D917F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ro-RO"/>
        </w:rPr>
        <w:t>p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romovarea autoevaluării și inter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-evaluării;</w:t>
      </w:r>
    </w:p>
    <w:p w14:paraId="017BF41B" w14:textId="77A2F928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ro-RO"/>
        </w:rPr>
        <w:t>e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valuarea satisfacți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ei beneficiarilor educaționali;</w:t>
      </w:r>
    </w:p>
    <w:p w14:paraId="2DC34994" w14:textId="2B7AFB3B" w:rsidR="00C6530E" w:rsidRDefault="00C6530E" w:rsidP="00C6530E">
      <w:pPr>
        <w:pStyle w:val="Default"/>
        <w:shd w:val="clear" w:color="auto" w:fill="FFFFFF"/>
        <w:spacing w:after="225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ro-RO"/>
        </w:rPr>
      </w:pP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ro-RO"/>
        </w:rPr>
        <w:t>c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oordonarea elaborării portofoliului educațional ca element central al evaluării rezultatelor învățării.</w:t>
      </w:r>
    </w:p>
    <w:p w14:paraId="6DF2D0DA" w14:textId="77777777" w:rsidR="00C6530E" w:rsidRPr="00C6530E" w:rsidRDefault="00C6530E" w:rsidP="00C6530E">
      <w:pPr>
        <w:pStyle w:val="Default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C6530E">
        <w:rPr>
          <w:rFonts w:asciiTheme="minorHAnsi" w:hAnsiTheme="minorHAnsi" w:cstheme="minorHAnsi"/>
          <w:b/>
          <w:sz w:val="20"/>
          <w:szCs w:val="20"/>
          <w:lang w:val="ro-RO"/>
        </w:rPr>
        <w:t xml:space="preserve">MANAGEMENTUL CARIEREI ŞI AL DEZVOLTĂRII PERSONALE </w:t>
      </w:r>
    </w:p>
    <w:p w14:paraId="17432B4A" w14:textId="6D0625ED" w:rsidR="00C6530E" w:rsidRPr="00C6530E" w:rsidRDefault="00C6530E" w:rsidP="00C6530E">
      <w:pPr>
        <w:pStyle w:val="Default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v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alorificarea competențelor științifice, didactice și metodice dobândite prin participarea la programele de 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formare continuă/perfecționare;</w:t>
      </w:r>
    </w:p>
    <w:p w14:paraId="06E08589" w14:textId="36F13F69" w:rsidR="00C6530E" w:rsidRPr="00C6530E" w:rsidRDefault="00C6530E" w:rsidP="00C6530E">
      <w:pPr>
        <w:pStyle w:val="Default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i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mplicarea în organizarea activităților metodice la nivelul comi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siei/catedrei/responsabilului;</w:t>
      </w:r>
    </w:p>
    <w:p w14:paraId="6E6F8F77" w14:textId="70FDE263" w:rsidR="00C6530E" w:rsidRPr="00C6530E" w:rsidRDefault="00C6530E" w:rsidP="00C6530E">
      <w:pPr>
        <w:pStyle w:val="Default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r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ealizarea/actualizarea portofoliului pro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fesional și dosarului personal;</w:t>
      </w:r>
    </w:p>
    <w:p w14:paraId="7F9F9BCB" w14:textId="15D8F8DB" w:rsidR="00C6530E" w:rsidRDefault="00C6530E" w:rsidP="00C6530E">
      <w:pPr>
        <w:pStyle w:val="Default"/>
        <w:shd w:val="clear" w:color="auto" w:fill="FFFFFF"/>
        <w:spacing w:after="225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d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ezvoltarea capacității de comunicare și relaționare în interiorul și în afara unității (cu elevii, personalul școlii, echipa managerială și cu beneficiarii din cadrul 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comunității-familiile elevilor);</w:t>
      </w:r>
    </w:p>
    <w:p w14:paraId="6F54DB93" w14:textId="6B5A78D7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530E">
        <w:rPr>
          <w:rFonts w:asciiTheme="minorHAnsi" w:hAnsiTheme="minorHAnsi" w:cstheme="minorHAnsi"/>
          <w:b/>
          <w:bCs/>
          <w:sz w:val="20"/>
          <w:szCs w:val="20"/>
        </w:rPr>
        <w:t xml:space="preserve">CONTRIBUŢIA LA DEZVOLTAREA INSTITUŢIONALĂ ŞI LA PROMOVAREA UNITĂŢII ŞCOLARE </w:t>
      </w:r>
    </w:p>
    <w:p w14:paraId="257879AF" w14:textId="12CBB023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ro-RO"/>
        </w:rPr>
        <w:t>d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ezvoltarea de parteneriate și proiecte educaționale în vede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rea dezvoltării instituționale;</w:t>
      </w:r>
    </w:p>
    <w:p w14:paraId="19E0FBFA" w14:textId="50837304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p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romovarea ofertei educaționale;</w:t>
      </w:r>
    </w:p>
    <w:p w14:paraId="672F71A5" w14:textId="6AAA81E9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lastRenderedPageBreak/>
        <w:t>- p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romovarea imaginii școlii în comunitate prin participarea și rezultatele elevilor la concursuri, competiții, activități ex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tracurriculare și extrașcolare;</w:t>
      </w:r>
    </w:p>
    <w:p w14:paraId="2227C041" w14:textId="74D93025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r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ealizarea/participarea la programe/activități de prevenire și combatere a violenței și comportamentelor nesănătoase în mediu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l școlar, familie și societate;</w:t>
      </w:r>
    </w:p>
    <w:p w14:paraId="6A073402" w14:textId="3DEDB576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r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espectarea normelor, procedurilor de sănătate și securitate a muncii și de PSI și ISU pentru toate tipurile de activități desfășurate în cadrul unității de învățământ precu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>m și a sarcinilor suplimentare;</w:t>
      </w:r>
    </w:p>
    <w:p w14:paraId="3BFFC5C0" w14:textId="03AC7104" w:rsidR="00C6530E" w:rsidRPr="00615902" w:rsidRDefault="00C6530E" w:rsidP="00C6530E">
      <w:pPr>
        <w:pStyle w:val="Default"/>
        <w:shd w:val="clear" w:color="auto" w:fill="FFFFFF"/>
        <w:spacing w:after="225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i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mplicarea activă în crearea unei culturi a calității la nivelul organizației.</w:t>
      </w:r>
    </w:p>
    <w:p w14:paraId="7EE7AE18" w14:textId="77777777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C6530E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CONDUITA PROFESIONALĂ </w:t>
      </w:r>
    </w:p>
    <w:p w14:paraId="190ED1EC" w14:textId="792E5B77" w:rsidR="00C6530E" w:rsidRPr="00C6530E" w:rsidRDefault="00C6530E" w:rsidP="00C6530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m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anifestarea atitudinii morale și civice (limbaj,</w:t>
      </w:r>
      <w:r w:rsidR="00615902">
        <w:rPr>
          <w:rFonts w:asciiTheme="minorHAnsi" w:hAnsiTheme="minorHAnsi" w:cstheme="minorHAnsi"/>
          <w:sz w:val="20"/>
          <w:szCs w:val="20"/>
          <w:lang w:val="ro-RO"/>
        </w:rPr>
        <w:t xml:space="preserve"> ținută, respect, comportament);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</w:p>
    <w:p w14:paraId="4BFAA9F9" w14:textId="77777777" w:rsidR="00615902" w:rsidRDefault="00C6530E" w:rsidP="00615902">
      <w:pPr>
        <w:pStyle w:val="Default"/>
        <w:shd w:val="clear" w:color="auto" w:fill="FFFFFF"/>
        <w:spacing w:after="225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- r</w:t>
      </w:r>
      <w:r w:rsidRPr="00C6530E">
        <w:rPr>
          <w:rFonts w:asciiTheme="minorHAnsi" w:hAnsiTheme="minorHAnsi" w:cstheme="minorHAnsi"/>
          <w:sz w:val="20"/>
          <w:szCs w:val="20"/>
          <w:lang w:val="ro-RO"/>
        </w:rPr>
        <w:t>espectarea și promovarea deontologiei profesionale.</w:t>
      </w:r>
    </w:p>
    <w:p w14:paraId="0010F03B" w14:textId="40FD2ED6" w:rsidR="00C6530E" w:rsidRPr="00615902" w:rsidRDefault="00401259" w:rsidP="00615902">
      <w:pPr>
        <w:pStyle w:val="Default"/>
        <w:shd w:val="clear" w:color="auto" w:fill="FFFFFF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ro-RO"/>
        </w:rPr>
      </w:pPr>
      <w:r w:rsidRPr="00401259">
        <w:rPr>
          <w:rFonts w:asciiTheme="minorHAnsi" w:hAnsiTheme="minorHAnsi" w:cstheme="minorHAnsi"/>
          <w:b/>
          <w:sz w:val="20"/>
          <w:szCs w:val="20"/>
        </w:rPr>
        <w:t>ALTE ATRIBUȚII</w:t>
      </w:r>
    </w:p>
    <w:p w14:paraId="7812DE26" w14:textId="34031F7C" w:rsidR="00EA2C33" w:rsidRDefault="00EA2C33" w:rsidP="0061590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031C53D6" w:rsidR="000E186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88DA9AA" w14:textId="759836FF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4D91FC7B" w14:textId="105DA59B" w:rsidR="00F37BB6" w:rsidRPr="00F37BB6" w:rsidRDefault="00F37BB6" w:rsidP="00615902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540BD917" w:rsidR="00F37BB6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6594332D" w14:textId="77777777" w:rsidR="00615902" w:rsidRPr="00191E55" w:rsidRDefault="00615902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319194" w14:textId="26712F01" w:rsidR="00615902" w:rsidRPr="000867C4" w:rsidRDefault="00615902" w:rsidP="00964D6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Specificațiile postului:</w:t>
      </w:r>
    </w:p>
    <w:p w14:paraId="71715363" w14:textId="77777777" w:rsidR="00615902" w:rsidRDefault="00615902" w:rsidP="00964D6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Studii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superioare.</w:t>
      </w:r>
    </w:p>
    <w:p w14:paraId="2398E737" w14:textId="77777777" w:rsidR="00615902" w:rsidRDefault="00615902" w:rsidP="00964D6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825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SPECIFICE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3BEAF256" w14:textId="77777777" w:rsidR="00615902" w:rsidRDefault="00615902" w:rsidP="00964D6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cursuri de formare;</w:t>
      </w:r>
    </w:p>
    <w:p w14:paraId="3F5FA06A" w14:textId="77777777" w:rsidR="00615902" w:rsidRPr="00F16093" w:rsidRDefault="00615902" w:rsidP="00964D6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operare PC (Word, Excel, PowerPoint).</w:t>
      </w:r>
    </w:p>
    <w:p w14:paraId="5299CDCF" w14:textId="77777777" w:rsidR="00615902" w:rsidRPr="001629DB" w:rsidRDefault="00615902" w:rsidP="00964D69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796D17" w14:textId="77777777" w:rsidR="00615902" w:rsidRPr="001924B2" w:rsidRDefault="00615902" w:rsidP="00964D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5A5B04F6" w14:textId="3DB49B8A" w:rsidR="00615902" w:rsidRDefault="00615902" w:rsidP="00964D6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... ani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vechime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4BFBFE5" w14:textId="77777777" w:rsidR="00615902" w:rsidRDefault="00615902" w:rsidP="00615902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DA4A13" w14:textId="77777777" w:rsidR="00615902" w:rsidRDefault="00615902" w:rsidP="00964D6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58ACA6" w14:textId="77777777" w:rsidR="00615902" w:rsidRPr="00482552" w:rsidRDefault="00615902" w:rsidP="0061590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41E40597" w14:textId="77777777" w:rsidR="00615902" w:rsidRPr="00482552" w:rsidRDefault="00615902" w:rsidP="0061590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Atenție concentrată și distributivă;</w:t>
      </w:r>
    </w:p>
    <w:p w14:paraId="63B74EEA" w14:textId="77777777" w:rsidR="00615902" w:rsidRPr="00482552" w:rsidRDefault="00615902" w:rsidP="0061590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 a operațiilor și activităților.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C3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5618" w14:textId="77777777" w:rsidR="009C396D" w:rsidRDefault="009C396D" w:rsidP="00527620">
      <w:r>
        <w:separator/>
      </w:r>
    </w:p>
  </w:endnote>
  <w:endnote w:type="continuationSeparator" w:id="0">
    <w:p w14:paraId="3C87635A" w14:textId="77777777" w:rsidR="009C396D" w:rsidRDefault="009C396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CA258C" w:rsidRDefault="00CA2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DFAA31F" w:rsidR="00CA258C" w:rsidRPr="005D0C84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59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59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A258C" w:rsidRPr="005D0C84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C44CEDD" w:rsidR="00CA258C" w:rsidRPr="00397CA0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59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159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A258C" w:rsidRPr="00397CA0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ED47" w14:textId="77777777" w:rsidR="009C396D" w:rsidRDefault="009C396D" w:rsidP="00527620">
      <w:r>
        <w:separator/>
      </w:r>
    </w:p>
  </w:footnote>
  <w:footnote w:type="continuationSeparator" w:id="0">
    <w:p w14:paraId="0A175951" w14:textId="77777777" w:rsidR="009C396D" w:rsidRDefault="009C396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CA258C" w:rsidRDefault="00CA2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CA258C" w:rsidRDefault="00CA2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A258C" w:rsidRDefault="00CA2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F7593"/>
    <w:multiLevelType w:val="hybridMultilevel"/>
    <w:tmpl w:val="B1967D80"/>
    <w:lvl w:ilvl="0" w:tplc="BB58D3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26D2E"/>
    <w:multiLevelType w:val="hybridMultilevel"/>
    <w:tmpl w:val="19EE1B92"/>
    <w:lvl w:ilvl="0" w:tplc="4B72CC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80CFD"/>
    <w:multiLevelType w:val="hybridMultilevel"/>
    <w:tmpl w:val="0CF44D9A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81157">
    <w:abstractNumId w:val="16"/>
  </w:num>
  <w:num w:numId="2" w16cid:durableId="1326785449">
    <w:abstractNumId w:val="13"/>
  </w:num>
  <w:num w:numId="3" w16cid:durableId="1283195445">
    <w:abstractNumId w:val="4"/>
  </w:num>
  <w:num w:numId="4" w16cid:durableId="1903906312">
    <w:abstractNumId w:val="22"/>
  </w:num>
  <w:num w:numId="5" w16cid:durableId="1453208497">
    <w:abstractNumId w:val="17"/>
  </w:num>
  <w:num w:numId="6" w16cid:durableId="1787698135">
    <w:abstractNumId w:val="0"/>
  </w:num>
  <w:num w:numId="7" w16cid:durableId="1827476197">
    <w:abstractNumId w:val="8"/>
  </w:num>
  <w:num w:numId="8" w16cid:durableId="278683802">
    <w:abstractNumId w:val="18"/>
  </w:num>
  <w:num w:numId="9" w16cid:durableId="156962704">
    <w:abstractNumId w:val="19"/>
  </w:num>
  <w:num w:numId="10" w16cid:durableId="1465389335">
    <w:abstractNumId w:val="9"/>
  </w:num>
  <w:num w:numId="11" w16cid:durableId="480006718">
    <w:abstractNumId w:val="5"/>
  </w:num>
  <w:num w:numId="12" w16cid:durableId="1566136788">
    <w:abstractNumId w:val="10"/>
  </w:num>
  <w:num w:numId="13" w16cid:durableId="1315333074">
    <w:abstractNumId w:val="3"/>
  </w:num>
  <w:num w:numId="14" w16cid:durableId="164437817">
    <w:abstractNumId w:val="6"/>
  </w:num>
  <w:num w:numId="15" w16cid:durableId="1721780955">
    <w:abstractNumId w:val="2"/>
  </w:num>
  <w:num w:numId="16" w16cid:durableId="475101121">
    <w:abstractNumId w:val="1"/>
  </w:num>
  <w:num w:numId="17" w16cid:durableId="2141535762">
    <w:abstractNumId w:val="24"/>
  </w:num>
  <w:num w:numId="18" w16cid:durableId="1124080929">
    <w:abstractNumId w:val="11"/>
  </w:num>
  <w:num w:numId="19" w16cid:durableId="1568030280">
    <w:abstractNumId w:val="15"/>
  </w:num>
  <w:num w:numId="20" w16cid:durableId="380904831">
    <w:abstractNumId w:val="23"/>
  </w:num>
  <w:num w:numId="21" w16cid:durableId="398482594">
    <w:abstractNumId w:val="14"/>
  </w:num>
  <w:num w:numId="22" w16cid:durableId="1213469645">
    <w:abstractNumId w:val="12"/>
  </w:num>
  <w:num w:numId="23" w16cid:durableId="686105479">
    <w:abstractNumId w:val="7"/>
  </w:num>
  <w:num w:numId="24" w16cid:durableId="1366057069">
    <w:abstractNumId w:val="20"/>
  </w:num>
  <w:num w:numId="25" w16cid:durableId="1036735459">
    <w:abstractNumId w:val="21"/>
  </w:num>
  <w:num w:numId="26" w16cid:durableId="7270692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B2E85"/>
    <w:rsid w:val="001D0618"/>
    <w:rsid w:val="001F6EC5"/>
    <w:rsid w:val="00223883"/>
    <w:rsid w:val="00256D22"/>
    <w:rsid w:val="0027078B"/>
    <w:rsid w:val="002C1D8D"/>
    <w:rsid w:val="002E438C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01259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15902"/>
    <w:rsid w:val="00623917"/>
    <w:rsid w:val="006535F9"/>
    <w:rsid w:val="00660F8C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1FF3"/>
    <w:rsid w:val="009733EE"/>
    <w:rsid w:val="00973754"/>
    <w:rsid w:val="00977582"/>
    <w:rsid w:val="00990B0F"/>
    <w:rsid w:val="00994F33"/>
    <w:rsid w:val="009C2EAF"/>
    <w:rsid w:val="009C396D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01394"/>
    <w:rsid w:val="00C332C1"/>
    <w:rsid w:val="00C33BE0"/>
    <w:rsid w:val="00C5320F"/>
    <w:rsid w:val="00C6530E"/>
    <w:rsid w:val="00C940C8"/>
    <w:rsid w:val="00C95143"/>
    <w:rsid w:val="00CA258C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070D1"/>
    <w:rsid w:val="00F16D12"/>
    <w:rsid w:val="00F22A55"/>
    <w:rsid w:val="00F37BB6"/>
    <w:rsid w:val="00F46168"/>
    <w:rsid w:val="00F53EBA"/>
    <w:rsid w:val="00F6317B"/>
    <w:rsid w:val="00F66197"/>
    <w:rsid w:val="00F930B7"/>
    <w:rsid w:val="00FA01A1"/>
    <w:rsid w:val="00FC2822"/>
    <w:rsid w:val="00FC47C9"/>
    <w:rsid w:val="00FD409A"/>
    <w:rsid w:val="00FD71DC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C6530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2023-04-26T10:27:00Z</cp:lastPrinted>
  <dcterms:created xsi:type="dcterms:W3CDTF">2023-11-09T18:02:00Z</dcterms:created>
  <dcterms:modified xsi:type="dcterms:W3CDTF">2024-03-24T12:46:00Z</dcterms:modified>
</cp:coreProperties>
</file>