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Relationships xmlns="http://schemas.openxmlformats.org/package/2006/relationships"><Relationship Id="rId3" Target="docProps/core.xml" Type="http://schemas.openxmlformats.org/package/2006/relationships/metadata/core-properties"/><Relationship Id="rId2" Target="docProps/thumbnail.emf" Type="http://schemas.openxmlformats.org/package/2006/relationships/metadata/thumbnail"/><Relationship Id="rId1" Target="word/document.xml" Type="http://schemas.openxmlformats.org/officeDocument/2006/relationships/officeDocument"/><Relationship Id="rId4" Target="docProps/app.xml" Type="http://schemas.openxmlformats.org/officeDocument/2006/relationships/extended-properties"/></Relationships>
</file>

<file path=word/document.xml><?xml version="1.0" encoding="utf-8"?>
<w:document xmlns:cx="http://schemas.microsoft.com/office/drawing/20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14:paraId="4EFADE1E" w14:textId="77777777" w:rsidP="002223E3" w:rsidR="00810114" w:rsidRDefault="00810114" w:rsidRPr="002223E3">
      <w:pPr>
        <w:jc w:val="center"/>
      </w:pPr>
      <w:r>
        <w:rPr>
          <w:b/>
          <w:sz w:val="20"/>
        </w:rPr>
        <w:t>CONTRACT INDIVIDUAL DE MUNCĂ AL STRĂINULUI</w:t>
      </w:r>
    </w:p>
    <w:p>
      <w:pPr>
        <w:jc w:val="center"/>
      </w:pPr>
      <w:r>
        <w:rPr>
          <w:b/>
          <w:sz w:val="20"/>
        </w:rPr>
        <w:t xml:space="preserve">nr. </w:t>
      </w:r>
      <w:r>
        <w:rPr>
          <w:b/>
          <w:color w:val="000000"/>
          <w:sz w:val="20"/>
        </w:rPr>
        <w:t>{c_numar}</w:t>
      </w:r>
      <w:r>
        <w:rPr>
          <w:b/>
          <w:sz w:val="20"/>
        </w:rPr>
        <w:t xml:space="preserve"> din data de </w:t>
      </w:r>
      <w:r>
        <w:rPr>
          <w:b/>
          <w:color w:val="000000"/>
          <w:sz w:val="20"/>
        </w:rPr>
        <w:t>{c_data}</w:t>
      </w:r>
    </w:p>
    <w:p>
      <w:pPr>
        <w:jc w:val="both"/>
      </w:pPr>
      <w:r>
        <w:rPr>
          <w:sz w:val="20"/>
        </w:rPr>
        <w:t xml:space="preserve">Încheiat în temeiul art. 10 și următoarele din Legea nr. 53/2003 — Codul muncii, republicată, cu modificările și completările ulterioare, al Ordonanței de urgență a Guvernului nr. 32/2026 privind accesul străinilor pe piața muncii din România, precum și pentru modificarea și completarea unor acte normative și al ofertei ferme de locuri de muncă. </w:t>
      </w:r>
    </w:p>
    <w:p>
      <w:pPr>
        <w:jc w:val="both"/>
      </w:pPr>
      <w:r>
        <w:rPr>
          <w:b/>
          <w:sz w:val="20"/>
        </w:rPr>
        <w:t xml:space="preserve">I. Părțile contractante </w:t>
      </w:r>
    </w:p>
    <w:p>
      <w:pPr>
        <w:jc w:val="both"/>
      </w:pPr>
      <w:r>
        <w:rPr>
          <w:sz w:val="20"/>
        </w:rPr>
        <w:t xml:space="preserve">1. Angajatorul — </w:t>
      </w:r>
      <w:r>
        <w:rPr>
          <w:b/>
          <w:color w:val="000000"/>
          <w:sz w:val="20"/>
          <w:highlight w:val="white"/>
        </w:rPr>
        <w:t>{a_forma_juridica}</w:t>
      </w:r>
      <w:r>
        <w:rPr>
          <w:b/>
          <w:color w:val="000000"/>
          <w:sz w:val="20"/>
        </w:rPr>
        <w:t xml:space="preserve"> </w:t>
      </w:r>
    </w:p>
    <w:p>
      <w:pPr>
        <w:jc w:val="both"/>
      </w:pPr>
      <w:r>
        <w:rPr>
          <w:sz w:val="20"/>
        </w:rPr>
        <w:t>Denumirea:</w:t>
      </w:r>
      <w:r>
        <w:rPr>
          <w:b/>
          <w:color w:val="000000"/>
          <w:sz w:val="20"/>
          <w:highlight w:val="white"/>
        </w:rPr>
        <w:t xml:space="preserve"> {a_denumire},</w:t>
      </w:r>
      <w:r>
        <w:rPr>
          <w:color w:val="000000"/>
          <w:sz w:val="20"/>
          <w:highlight w:val="white"/>
        </w:rPr>
        <w:t xml:space="preserve"> </w:t>
      </w:r>
      <w:r>
        <w:rPr>
          <w:sz w:val="20"/>
        </w:rPr>
        <w:t xml:space="preserve">înregistrată la registrul comerțului cu nr. </w:t>
      </w:r>
      <w:r>
        <w:rPr>
          <w:b/>
          <w:color w:val="1C1E21"/>
          <w:sz w:val="20"/>
        </w:rPr>
        <w:t>{a_reg_comertului}</w:t>
      </w:r>
      <w:r>
        <w:rPr>
          <w:sz w:val="20"/>
        </w:rPr>
        <w:t xml:space="preserve">, codul unic de înregistrare </w:t>
      </w:r>
      <w:r>
        <w:rPr>
          <w:b/>
          <w:color w:val="000000"/>
          <w:sz w:val="20"/>
          <w:highlight w:val="white"/>
        </w:rPr>
        <w:t>{a_cui}</w:t>
      </w:r>
      <w:r>
        <w:rPr>
          <w:color w:val="000000"/>
          <w:sz w:val="20"/>
          <w:highlight w:val="white"/>
        </w:rPr>
        <w:t>,</w:t>
      </w:r>
      <w:r>
        <w:rPr>
          <w:sz w:val="20"/>
        </w:rPr>
        <w:t xml:space="preserve"> cu sediul social/domiciliul în </w:t>
      </w:r>
      <w:r>
        <w:rPr>
          <w:b/>
          <w:color w:val="000000"/>
          <w:sz w:val="20"/>
          <w:highlight w:val="white"/>
        </w:rPr>
        <w:t>{a_localitate}, {a_adresa} {a_judet}</w:t>
      </w:r>
      <w:r>
        <w:rPr>
          <w:sz w:val="20"/>
        </w:rPr>
        <w:t xml:space="preserve">, telefon </w:t>
      </w:r>
      <w:r>
        <w:rPr>
          <w:b/>
          <w:color w:val="000000"/>
          <w:sz w:val="20"/>
          <w:highlight w:val="white"/>
        </w:rPr>
        <w:t>{a_telefon}</w:t>
      </w:r>
      <w:r>
        <w:rPr>
          <w:color w:val="000000"/>
          <w:sz w:val="20"/>
          <w:highlight w:val="white"/>
        </w:rPr>
        <w:t>,</w:t>
      </w:r>
      <w:r>
        <w:rPr>
          <w:sz w:val="20"/>
        </w:rPr>
        <w:t xml:space="preserve"> e-mail </w:t>
      </w:r>
      <w:r>
        <w:rPr>
          <w:b/>
          <w:color w:val="1C1E21"/>
          <w:sz w:val="20"/>
        </w:rPr>
        <w:t>{a_email}</w:t>
      </w:r>
      <w:r>
        <w:rPr>
          <w:sz w:val="20"/>
        </w:rPr>
        <w:t xml:space="preserve">, reprezentată legal de dl/dna </w:t>
      </w:r>
      <w:r>
        <w:rPr>
          <w:b/>
          <w:color w:val="000000"/>
          <w:sz w:val="20"/>
          <w:highlight w:val="white"/>
        </w:rPr>
        <w:t>{a_rl_nume}</w:t>
      </w:r>
      <w:r>
        <w:rPr>
          <w:sz w:val="20"/>
        </w:rPr>
        <w:t xml:space="preserve">, în calitate de </w:t>
      </w:r>
      <w:r>
        <w:rPr>
          <w:b/>
          <w:color w:val="000000"/>
          <w:sz w:val="20"/>
          <w:highlight w:val="white"/>
        </w:rPr>
        <w:t>{a_rl_functie}</w:t>
      </w:r>
      <w:r>
        <w:rPr>
          <w:sz w:val="20"/>
        </w:rPr>
        <w:t xml:space="preserve">, denumită în continuare angajatorul </w:t>
      </w:r>
    </w:p>
    <w:p>
      <w:pPr>
        <w:jc w:val="both"/>
      </w:pPr>
    </w:p>
    <w:p>
      <w:pPr>
        <w:jc w:val="both"/>
      </w:pPr>
      <w:r>
        <w:rPr>
          <w:sz w:val="20"/>
        </w:rPr>
        <w:t xml:space="preserve">2. Salariatul — lucrătorul străin </w:t>
      </w:r>
    </w:p>
    <w:p>
      <w:pPr>
        <w:jc w:val="both"/>
      </w:pPr>
      <w:r>
        <w:rPr>
          <w:sz w:val="20"/>
        </w:rPr>
        <w:t xml:space="preserve">Numele și prenumele: </w:t>
      </w:r>
      <w:r>
        <w:rPr>
          <w:b/>
          <w:color w:val="000000"/>
          <w:sz w:val="20"/>
          <w:highlight w:val="white"/>
        </w:rPr>
        <w:t>{s_nume} {s_prenume}</w:t>
      </w:r>
      <w:r>
        <w:rPr>
          <w:color w:val="000000"/>
          <w:sz w:val="20"/>
          <w:highlight w:val="white"/>
        </w:rPr>
        <w:t>,</w:t>
      </w:r>
      <w:r>
        <w:rPr>
          <w:sz w:val="20"/>
        </w:rPr>
        <w:t xml:space="preserve"> cetățenia: </w:t>
      </w:r>
      <w:r>
        <w:rPr>
          <w:b/>
          <w:color w:val="1C1E21"/>
          <w:sz w:val="20"/>
        </w:rPr>
        <w:t>{s_cetatenie}</w:t>
      </w:r>
      <w:r>
        <w:rPr>
          <w:sz w:val="20"/>
        </w:rPr>
        <w:t xml:space="preserve">, data nașterii: </w:t>
      </w:r>
      <w:r>
        <w:rPr>
          <w:b/>
          <w:color w:val="1C1E21"/>
          <w:sz w:val="20"/>
        </w:rPr>
        <w:t>{s_data_nastere}</w:t>
      </w:r>
      <w:r>
        <w:rPr>
          <w:sz w:val="20"/>
        </w:rPr>
        <w:t xml:space="preserve">, locul nașterii: </w:t>
      </w:r>
      <w:r>
        <w:rPr>
          <w:b/>
          <w:color w:val="1C1E21"/>
          <w:sz w:val="20"/>
        </w:rPr>
        <w:t xml:space="preserve">{s_localitate_strain}, </w:t>
      </w:r>
      <w:r>
        <w:rPr>
          <w:sz w:val="20"/>
        </w:rPr>
        <w:t xml:space="preserve"> </w:t>
      </w:r>
      <w:r>
        <w:rPr>
          <w:sz w:val="20"/>
        </w:rPr>
        <w:t xml:space="preserve">actul de identitate/pașaportul </w:t>
      </w:r>
      <w:r>
        <w:rPr>
          <w:b/>
          <w:color w:val="1C1E21"/>
          <w:sz w:val="20"/>
        </w:rPr>
        <w:t xml:space="preserve">{s_act_identitate}, </w:t>
      </w:r>
      <w:r>
        <w:rPr>
          <w:sz w:val="20"/>
        </w:rPr>
        <w:t xml:space="preserve">seria </w:t>
      </w:r>
      <w:r>
        <w:rPr>
          <w:b/>
          <w:color w:val="1C1E21"/>
          <w:sz w:val="20"/>
        </w:rPr>
        <w:t>{s_ci_serie}</w:t>
      </w:r>
      <w:r>
        <w:rPr>
          <w:sz w:val="20"/>
        </w:rPr>
        <w:t xml:space="preserve"> nr. </w:t>
      </w:r>
      <w:r>
        <w:rPr>
          <w:b/>
          <w:color w:val="1C1E21"/>
          <w:sz w:val="20"/>
        </w:rPr>
        <w:t>{s_ci_numar}</w:t>
      </w:r>
      <w:r>
        <w:rPr>
          <w:sz w:val="20"/>
        </w:rPr>
        <w:t xml:space="preserve">, eliberat de </w:t>
      </w:r>
      <w:r>
        <w:rPr>
          <w:b/>
          <w:color w:val="1C1E21"/>
          <w:sz w:val="20"/>
        </w:rPr>
        <w:t>{s_ci_emis_de}</w:t>
      </w:r>
      <w:r>
        <w:rPr>
          <w:sz w:val="20"/>
        </w:rPr>
        <w:t xml:space="preserve"> la data de </w:t>
      </w:r>
      <w:r>
        <w:rPr>
          <w:b/>
          <w:color w:val="1C1E21"/>
          <w:sz w:val="20"/>
        </w:rPr>
        <w:t>{s_ci_emis_la}</w:t>
      </w:r>
      <w:r>
        <w:rPr>
          <w:sz w:val="20"/>
        </w:rPr>
        <w:t xml:space="preserve">, valabil până la </w:t>
      </w:r>
      <w:r>
        <w:rPr>
          <w:b/>
          <w:color w:val="1C1E21"/>
          <w:sz w:val="20"/>
        </w:rPr>
        <w:t>{s_ci_expira_la}</w:t>
      </w:r>
      <w:r>
        <w:rPr>
          <w:sz w:val="20"/>
        </w:rPr>
        <w:t xml:space="preserve">, domiciliul în România: </w:t>
      </w:r>
      <w:r>
        <w:rPr>
          <w:b/>
          <w:color w:val="1C1E21"/>
          <w:sz w:val="20"/>
        </w:rPr>
        <w:t>{s_localitate}, {s_adresa}, {s_judet}</w:t>
      </w:r>
      <w:r>
        <w:rPr>
          <w:sz w:val="20"/>
        </w:rPr>
        <w:t xml:space="preserve">, domiciliul în țara de origine: </w:t>
      </w:r>
      <w:r>
        <w:rPr>
          <w:b/>
          <w:color w:val="1C1E21"/>
          <w:sz w:val="20"/>
        </w:rPr>
        <w:t>{s_tara_origine}</w:t>
      </w:r>
      <w:r>
        <w:rPr>
          <w:sz w:val="20"/>
        </w:rPr>
        <w:t xml:space="preserve">, Permis de ședere în scop de muncă nr. </w:t>
      </w:r>
      <w:r>
        <w:rPr>
          <w:b/>
          <w:color w:val="1C1E21"/>
          <w:sz w:val="20"/>
        </w:rPr>
        <w:t>{s_nr_aviz} emis la data de {s_data_emitere_aviz}</w:t>
      </w:r>
      <w:r>
        <w:rPr>
          <w:sz w:val="20"/>
        </w:rPr>
        <w:t xml:space="preserve">, valabil până la </w:t>
      </w:r>
      <w:r>
        <w:rPr>
          <w:b/>
          <w:color w:val="1C1E21"/>
          <w:sz w:val="20"/>
        </w:rPr>
        <w:t>{s_data_sfarsit_aviz}</w:t>
      </w:r>
      <w:r>
        <w:rPr>
          <w:sz w:val="20"/>
        </w:rPr>
        <w:t xml:space="preserve">, codul numeric personal (dacă există): </w:t>
      </w:r>
      <w:r>
        <w:rPr>
          <w:b/>
          <w:color w:val="000000"/>
          <w:sz w:val="20"/>
          <w:highlight w:val="white"/>
        </w:rPr>
        <w:t>{s_cnp}</w:t>
      </w:r>
      <w:r>
        <w:rPr>
          <w:sz w:val="20"/>
        </w:rPr>
        <w:t xml:space="preserve">, denumit/ă în continuare salariatul 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II. Obiectul contractului </w:t>
      </w:r>
    </w:p>
    <w:p>
      <w:pPr>
        <w:jc w:val="both"/>
      </w:pPr>
      <w:r>
        <w:rPr>
          <w:sz w:val="20"/>
        </w:rPr>
        <w:t xml:space="preserve">Art. 1. — Angajatorul angajează salariatul în funcția/ocupația de </w:t>
      </w:r>
      <w:r>
        <w:rPr>
          <w:b/>
          <w:color w:val="000000"/>
          <w:sz w:val="20"/>
          <w:highlight w:val="white"/>
        </w:rPr>
        <w:t>{c_functie},</w:t>
      </w:r>
      <w:r>
        <w:rPr>
          <w:sz w:val="20"/>
        </w:rPr>
        <w:t xml:space="preserve"> cod COR </w:t>
      </w:r>
      <w:r>
        <w:rPr>
          <w:b/>
          <w:color w:val="000000"/>
          <w:sz w:val="20"/>
          <w:highlight w:val="white"/>
        </w:rPr>
        <w:t>{c_functie_cod}</w:t>
      </w:r>
      <w:r>
        <w:rPr>
          <w:sz w:val="20"/>
        </w:rPr>
        <w:t xml:space="preserve">, în cadrul departamentului/secției </w:t>
      </w:r>
      <w:r>
        <w:rPr>
          <w:b/>
          <w:color w:val="1C1E21"/>
          <w:sz w:val="20"/>
        </w:rPr>
        <w:t>{d_denumire}</w:t>
      </w:r>
      <w:r>
        <w:rPr>
          <w:sz w:val="20"/>
        </w:rPr>
        <w:t xml:space="preserve">, la locul de muncă situat în </w:t>
      </w:r>
      <w:r>
        <w:rPr>
          <w:b/>
          <w:color w:val="1C1E21"/>
          <w:sz w:val="20"/>
        </w:rPr>
        <w:t xml:space="preserve">{c_judet_loc_munca}, </w:t>
      </w:r>
      <w:r>
        <w:rPr>
          <w:color w:val="1C1E21"/>
          <w:sz w:val="20"/>
        </w:rPr>
        <w:t xml:space="preserve">localitatea </w:t>
      </w:r>
      <w:r>
        <w:rPr>
          <w:b/>
          <w:color w:val="1C1E21"/>
          <w:sz w:val="20"/>
        </w:rPr>
        <w:t>{c_localitate_loc_munca}.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III. Durata contractului </w:t>
      </w:r>
    </w:p>
    <w:p>
      <w:pPr>
        <w:jc w:val="both"/>
      </w:pPr>
      <w:r>
        <w:rPr>
          <w:sz w:val="20"/>
        </w:rPr>
        <w:t xml:space="preserve">Art. 2. — (1) Contractul individual de muncă se încheie pe: </w:t>
      </w:r>
    </w:p>
    <w:p>
      <w:pPr>
        <w:jc w:val="both"/>
      </w:pPr>
      <w:r>
        <w:rPr>
          <w:sz w:val="20"/>
        </w:rPr>
        <w:t xml:space="preserve">— </w:t>
      </w:r>
      <w:r>
        <w:rPr>
          <w:b/>
          <w:color w:val="1C1E21"/>
          <w:sz w:val="20"/>
        </w:rPr>
        <w:t>{c_paragraf_durata}</w:t>
      </w:r>
    </w:p>
    <w:p>
      <w:pPr>
        <w:jc w:val="both"/>
      </w:pPr>
      <w:r>
        <w:rPr>
          <w:sz w:val="20"/>
        </w:rPr>
        <w:t xml:space="preserve">(2) Salariatul urmează să desfășoare activitatea începând cu data de </w:t>
      </w:r>
      <w:r>
        <w:rPr>
          <w:b/>
          <w:color w:val="1C1E21"/>
          <w:sz w:val="20"/>
        </w:rPr>
        <w:t>{c_data_inceput}</w:t>
      </w:r>
      <w:r>
        <w:rPr>
          <w:sz w:val="20"/>
        </w:rPr>
        <w:t xml:space="preserve">. </w:t>
      </w:r>
    </w:p>
    <w:p>
      <w:pPr>
        <w:jc w:val="both"/>
      </w:pPr>
      <w:r>
        <w:rPr>
          <w:sz w:val="20"/>
        </w:rPr>
        <w:t xml:space="preserve">3) Perioada de probă este de </w:t>
      </w:r>
      <w:r>
        <w:rPr>
          <w:b/>
          <w:color w:val="1C1E21"/>
          <w:sz w:val="20"/>
        </w:rPr>
        <w:t>{c_perioada_proba_durata}</w:t>
      </w:r>
      <w:r>
        <w:rPr>
          <w:sz w:val="20"/>
        </w:rPr>
        <w:t xml:space="preserve"> de zile calendaristice, conform art. 31 din Legea nr. 53/2003 — Codul muncii, republicată, cu modificările și completările ulterioare. 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IV. Locul de muncă </w:t>
      </w:r>
    </w:p>
    <w:p>
      <w:pPr>
        <w:jc w:val="both"/>
      </w:pPr>
      <w:r>
        <w:rPr>
          <w:sz w:val="20"/>
        </w:rPr>
        <w:t xml:space="preserve">Art. 3. — (1) Activitatea se desfășoară la: </w:t>
      </w:r>
      <w:r>
        <w:rPr>
          <w:b/>
          <w:color w:val="1C1E21"/>
          <w:sz w:val="20"/>
        </w:rPr>
        <w:t>{c_localitate_loc_munca} {c_judet_loc_munca}</w:t>
      </w:r>
      <w:r>
        <w:rPr>
          <w:sz w:val="20"/>
        </w:rPr>
        <w:t xml:space="preserve"> / </w:t>
      </w:r>
      <w:r>
        <w:rPr>
          <w:b/>
          <w:color w:val="1C1E21"/>
          <w:sz w:val="20"/>
        </w:rPr>
        <w:t>{pl_adresa}</w:t>
      </w:r>
      <w:r>
        <w:rPr>
          <w:sz w:val="20"/>
        </w:rPr>
        <w:t xml:space="preserve"> (adresa completă a locului de muncă). </w:t>
      </w:r>
    </w:p>
    <w:p>
      <w:pPr>
        <w:jc w:val="both"/>
      </w:pPr>
      <w:r>
        <w:rPr>
          <w:sz w:val="20"/>
        </w:rPr>
        <w:t xml:space="preserve">(2) Activitatea presupune deplasări da/nu; detalii: </w:t>
      </w:r>
      <w:r>
        <w:rPr>
          <w:b/>
          <w:sz w:val="20"/>
          <w:highlight w:val="white"/>
        </w:rPr>
        <w:t>{space}</w:t>
      </w:r>
      <w:r>
        <w:rPr>
          <w:sz w:val="20"/>
        </w:rPr>
        <w:t xml:space="preserve">. 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V. Felul muncii </w:t>
      </w:r>
    </w:p>
    <w:p>
      <w:pPr>
        <w:jc w:val="both"/>
      </w:pPr>
      <w:r>
        <w:rPr>
          <w:sz w:val="20"/>
        </w:rPr>
        <w:t xml:space="preserve">Art. 4. — Salariatul va desfășura activitățile prevăzute în fișa postului, care face parte integrantă din prezentul contract, cu respectarea cerințelor de calificare, după caz: </w:t>
      </w:r>
      <w:r>
        <w:rPr>
          <w:b/>
          <w:sz w:val="20"/>
        </w:rPr>
        <w:t>{c_cerinte_calificare}</w:t>
      </w:r>
      <w:r>
        <w:rPr>
          <w:sz w:val="20"/>
        </w:rPr>
        <w:t xml:space="preserve">. 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VI. Durata muncii </w:t>
      </w:r>
    </w:p>
    <w:p>
      <w:pPr>
        <w:jc w:val="both"/>
      </w:pPr>
      <w:r>
        <w:rPr>
          <w:sz w:val="20"/>
        </w:rPr>
        <w:t xml:space="preserve">Art. 5. — (1) Durata normală a muncii este: </w:t>
      </w:r>
      <w:r>
        <w:rPr>
          <w:b/>
          <w:color w:val="000000"/>
          <w:sz w:val="20"/>
          <w:highlight w:val="white"/>
        </w:rPr>
        <w:t>{c_tip_norma}</w:t>
      </w:r>
      <w:r>
        <w:rPr>
          <w:b/>
          <w:color w:val="000000"/>
          <w:sz w:val="20"/>
        </w:rPr>
        <w:t>.</w:t>
      </w:r>
    </w:p>
    <w:p>
      <w:pPr>
        <w:jc w:val="both"/>
      </w:pPr>
      <w:r>
        <w:rPr>
          <w:sz w:val="20"/>
        </w:rPr>
        <w:t xml:space="preserve">(2) Repartizarea timpului de muncă este: </w:t>
      </w:r>
      <w:r>
        <w:rPr>
          <w:b/>
          <w:color w:val="000000"/>
          <w:sz w:val="20"/>
          <w:highlight w:val="white"/>
        </w:rPr>
        <w:t>{c_repartizare_timp_munca}</w:t>
      </w:r>
      <w:r>
        <w:rPr>
          <w:b/>
          <w:color w:val="000000"/>
          <w:sz w:val="20"/>
        </w:rPr>
        <w:t xml:space="preserve">, </w:t>
      </w:r>
      <w:r>
        <w:rPr>
          <w:b/>
          <w:color w:val="1C1E21"/>
          <w:sz w:val="20"/>
        </w:rPr>
        <w:t>{c_repartizare}.</w:t>
      </w:r>
    </w:p>
    <w:p>
      <w:pPr>
        <w:jc w:val="both"/>
      </w:pPr>
      <w:r>
        <w:rPr>
          <w:sz w:val="20"/>
        </w:rPr>
        <w:t xml:space="preserve">(3) Programul de lucru este următorul: </w:t>
      </w:r>
      <w:r>
        <w:rPr>
          <w:b/>
          <w:sz w:val="20"/>
        </w:rPr>
        <w:t>{c_ora_inceput}</w:t>
      </w:r>
      <w:r>
        <w:rPr>
          <w:sz w:val="20"/>
        </w:rPr>
        <w:t xml:space="preserve"> — </w:t>
      </w:r>
      <w:r>
        <w:rPr>
          <w:b/>
          <w:sz w:val="20"/>
        </w:rPr>
        <w:t>{c_ora_sfarsit}</w:t>
      </w:r>
      <w:r>
        <w:rPr>
          <w:sz w:val="20"/>
        </w:rPr>
        <w:t xml:space="preserve">, cu pauza de masă de </w:t>
      </w:r>
      <w:r>
        <w:rPr>
          <w:b/>
          <w:sz w:val="20"/>
        </w:rPr>
        <w:t xml:space="preserve">{c_pauza_masa_minute} </w:t>
      </w:r>
      <w:r>
        <w:rPr>
          <w:sz w:val="20"/>
        </w:rPr>
        <w:t xml:space="preserve">minute. </w:t>
      </w:r>
    </w:p>
    <w:p>
      <w:pPr>
        <w:jc w:val="both"/>
      </w:pPr>
      <w:r>
        <w:rPr>
          <w:sz w:val="20"/>
        </w:rPr>
        <w:t xml:space="preserve">(4) Repausul zilnic minim constă în: </w:t>
      </w:r>
      <w:r>
        <w:rPr>
          <w:b/>
          <w:sz w:val="20"/>
        </w:rPr>
        <w:t>{c_repaus_zilnic_ore}</w:t>
      </w:r>
      <w:r>
        <w:rPr>
          <w:sz w:val="20"/>
        </w:rPr>
        <w:t xml:space="preserve"> ore consecutive. </w:t>
      </w:r>
    </w:p>
    <w:p>
      <w:pPr>
        <w:jc w:val="both"/>
      </w:pPr>
      <w:r>
        <w:rPr>
          <w:sz w:val="20"/>
        </w:rPr>
        <w:t xml:space="preserve">(5) Repausul săptămânal constă în: </w:t>
      </w:r>
      <w:r>
        <w:rPr>
          <w:b/>
          <w:sz w:val="20"/>
        </w:rPr>
        <w:t>{c_repaus_saptamanal}</w:t>
      </w:r>
      <w:r>
        <w:rPr>
          <w:sz w:val="20"/>
        </w:rPr>
        <w:t xml:space="preserve">. </w:t>
      </w:r>
    </w:p>
    <w:p>
      <w:pPr>
        <w:jc w:val="both"/>
      </w:pPr>
      <w:r>
        <w:rPr>
          <w:sz w:val="20"/>
        </w:rPr>
        <w:t xml:space="preserve">(6) Munca suplimentară se compensează conform art. 122 și 123 din Legea nr. 53/2003 — Codul muncii, republicată, cu modificările și completările ulterioare. Modalitatea de compensare convenită este următoarea: </w:t>
      </w:r>
      <w:r>
        <w:rPr>
          <w:b/>
          <w:sz w:val="20"/>
        </w:rPr>
        <w:t>{c_modalitate_compensare_ore_suplimentare}</w:t>
      </w:r>
      <w:r>
        <w:rPr>
          <w:sz w:val="20"/>
        </w:rPr>
        <w:t xml:space="preserve">. 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VII. Concediul </w:t>
      </w:r>
    </w:p>
    <w:p>
      <w:pPr>
        <w:jc w:val="both"/>
      </w:pPr>
      <w:r>
        <w:rPr>
          <w:sz w:val="20"/>
        </w:rPr>
        <w:t xml:space="preserve">Art. 6. — (1) Durata concediului de odihnă anual plătit este de </w:t>
      </w:r>
      <w:r>
        <w:rPr>
          <w:b/>
          <w:sz w:val="20"/>
          <w:highlight w:val="white"/>
        </w:rPr>
        <w:t>{c_nr_zile_concediu}</w:t>
      </w:r>
      <w:r>
        <w:rPr>
          <w:sz w:val="20"/>
          <w:highlight w:val="white"/>
        </w:rPr>
        <w:t xml:space="preserve"> </w:t>
      </w:r>
      <w:r>
        <w:rPr>
          <w:sz w:val="20"/>
        </w:rPr>
        <w:t xml:space="preserve">zile lucrătoare. </w:t>
      </w:r>
    </w:p>
    <w:p>
      <w:pPr>
        <w:jc w:val="both"/>
      </w:pPr>
      <w:r>
        <w:rPr>
          <w:sz w:val="20"/>
        </w:rPr>
        <w:t xml:space="preserve">(2) De asemenea, salariatul beneficiază de concedii conform legislației în vigoare (concediu de boală, concediu de maternitate/paternitate, concediu fără plată etc.). </w:t>
      </w:r>
    </w:p>
    <w:p>
      <w:pPr>
        <w:jc w:val="both"/>
      </w:pPr>
      <w:r>
        <w:rPr>
          <w:sz w:val="20"/>
        </w:rPr>
        <w:t xml:space="preserve">(3) Indemnizația de concediu de odihnă se calculează conform art. 150 din Legea nr. 53/2003 — Codul muncii, republicată, cu modificările și completările ulterioare. 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VIII. Salariul </w:t>
      </w:r>
    </w:p>
    <w:p>
      <w:pPr>
        <w:jc w:val="both"/>
      </w:pPr>
      <w:r>
        <w:rPr>
          <w:sz w:val="20"/>
        </w:rPr>
        <w:t xml:space="preserve">Art. 7. — (1) Salariul de bază lunar brut este de </w:t>
      </w:r>
      <w:r>
        <w:rPr>
          <w:b/>
          <w:color w:val="000000"/>
          <w:sz w:val="20"/>
          <w:highlight w:val="white"/>
        </w:rPr>
        <w:t>{c_salariu}</w:t>
      </w:r>
      <w:r>
        <w:rPr>
          <w:sz w:val="20"/>
        </w:rPr>
        <w:t xml:space="preserve"> lei. </w:t>
      </w:r>
    </w:p>
    <w:p>
      <w:pPr>
        <w:jc w:val="both"/>
      </w:pPr>
      <w:r>
        <w:rPr>
          <w:sz w:val="20"/>
        </w:rPr>
        <w:t xml:space="preserve">(2) Salariul lunar net este de </w:t>
      </w:r>
      <w:r>
        <w:rPr>
          <w:b/>
          <w:sz w:val="20"/>
        </w:rPr>
        <w:t>{c_salariu_net}</w:t>
      </w:r>
      <w:r>
        <w:rPr>
          <w:sz w:val="20"/>
        </w:rPr>
        <w:t xml:space="preserve"> lei. </w:t>
      </w:r>
    </w:p>
    <w:p>
      <w:pPr>
        <w:jc w:val="both"/>
      </w:pPr>
      <w:r>
        <w:rPr>
          <w:sz w:val="20"/>
        </w:rPr>
        <w:t xml:space="preserve">(3) Tariful orar este de </w:t>
      </w:r>
      <w:r>
        <w:rPr>
          <w:b/>
          <w:sz w:val="20"/>
        </w:rPr>
        <w:t>{c_tarif_orar}</w:t>
      </w:r>
      <w:r>
        <w:rPr>
          <w:sz w:val="20"/>
        </w:rPr>
        <w:t xml:space="preserve"> lei. </w:t>
      </w:r>
    </w:p>
    <w:p>
      <w:pPr>
        <w:jc w:val="both"/>
      </w:pPr>
      <w:r>
        <w:rPr>
          <w:sz w:val="20"/>
        </w:rPr>
        <w:t xml:space="preserve">(4) Salariul se plătește la data de </w:t>
      </w:r>
      <w:r>
        <w:rPr>
          <w:b/>
          <w:sz w:val="20"/>
          <w:highlight w:val="white"/>
        </w:rPr>
        <w:t>{a_data_de_plata_salariu}</w:t>
      </w:r>
      <w:r>
        <w:rPr>
          <w:sz w:val="20"/>
        </w:rPr>
        <w:t xml:space="preserve"> a lunii, în contul bancar al salariatului, cont nr.</w:t>
      </w:r>
      <w:r>
        <w:rPr>
          <w:b/>
          <w:sz w:val="20"/>
        </w:rPr>
        <w:t xml:space="preserve"> {s_cont_bancar}</w:t>
      </w:r>
      <w:r>
        <w:rPr>
          <w:sz w:val="20"/>
        </w:rPr>
        <w:t xml:space="preserve">, deschis la </w:t>
      </w:r>
      <w:r>
        <w:rPr>
          <w:b/>
          <w:sz w:val="20"/>
        </w:rPr>
        <w:t>{s_banca}.</w:t>
      </w:r>
    </w:p>
    <w:p>
      <w:pPr>
        <w:jc w:val="both"/>
      </w:pPr>
      <w:r>
        <w:rPr>
          <w:sz w:val="20"/>
        </w:rPr>
        <w:t xml:space="preserve">(5) Salariul minim brut pe țară garantat în plată aplicabil este de </w:t>
      </w:r>
      <w:r>
        <w:rPr>
          <w:b/>
          <w:sz w:val="20"/>
        </w:rPr>
        <w:t>4325 lei</w:t>
      </w:r>
      <w:r>
        <w:rPr>
          <w:sz w:val="20"/>
        </w:rPr>
        <w:t xml:space="preserve">, conform Hotărârii Guvernului nr. </w:t>
      </w:r>
      <w:r>
        <w:rPr>
          <w:b/>
          <w:sz w:val="20"/>
        </w:rPr>
        <w:t>146 din 12.03.2026</w:t>
      </w:r>
      <w:r>
        <w:rPr>
          <w:sz w:val="20"/>
        </w:rPr>
        <w:t xml:space="preserve"> în vigoare la data semnării contractului. </w:t>
      </w:r>
    </w:p>
    <w:p>
      <w:pPr>
        <w:jc w:val="both"/>
      </w:pPr>
      <w:r>
        <w:rPr>
          <w:sz w:val="20"/>
        </w:rPr>
        <w:t xml:space="preserve">(6) Salariatul beneficiază de următoarele sporuri: </w:t>
      </w:r>
    </w:p>
    <w:p>
      <w:pPr>
        <w:jc w:val="both"/>
      </w:pPr>
      <w:r>
        <w:rPr>
          <w:b/>
          <w:sz w:val="20"/>
          <w:highlight w:val="white"/>
        </w:rPr>
        <w:t>{c_lista_sporuri}</w:t>
      </w:r>
      <w:r>
        <w:rPr>
          <w:b/>
          <w:sz w:val="20"/>
        </w:rPr>
        <w:t xml:space="preserve">. </w:t>
      </w:r>
    </w:p>
    <w:p>
      <w:pPr>
        <w:jc w:val="both"/>
      </w:pPr>
      <w:r>
        <w:rPr>
          <w:sz w:val="20"/>
        </w:rPr>
        <w:t xml:space="preserve">(7) Alte beneficii sunt următoarele: </w:t>
      </w:r>
      <w:r>
        <w:rPr>
          <w:b/>
          <w:sz w:val="20"/>
        </w:rPr>
        <w:t>{c_alte_beneficii}.</w:t>
      </w:r>
    </w:p>
    <w:p>
      <w:pPr>
        <w:jc w:val="both"/>
      </w:pPr>
      <w:r>
        <w:rPr>
          <w:sz w:val="20"/>
        </w:rPr>
        <w:t xml:space="preserve">(8) Contractul colectiv de muncă aplicabil este următorul: </w:t>
      </w:r>
      <w:r>
        <w:rPr>
          <w:b/>
          <w:sz w:val="20"/>
        </w:rPr>
        <w:t>{a_ccm_nr_inregistrare}.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IX. Urmărirea silită a drepturilor salariale </w:t>
      </w:r>
    </w:p>
    <w:p>
      <w:pPr>
        <w:jc w:val="both"/>
      </w:pPr>
      <w:r>
        <w:rPr>
          <w:sz w:val="20"/>
        </w:rPr>
        <w:t xml:space="preserve">Art. 8. — Drepturile salariale pot fi urmărite silit în condițiile și în limitele prevăzute de Codul de procedură civilă și de alte dispoziții legale aplicabile. 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>X. Impozite, taxe și contribuții</w:t>
      </w:r>
    </w:p>
    <w:p>
      <w:pPr>
        <w:jc w:val="both"/>
      </w:pPr>
      <w:r>
        <w:rPr>
          <w:sz w:val="20"/>
        </w:rPr>
        <w:t xml:space="preserve">Art. 9. — (1) Angajatorul are obligația de a reține și vira la buget impozitul pe venit și contribuțiile sociale datorate de salariat, conform legislației fiscale și de asigurări sociale în vigoare. </w:t>
      </w:r>
    </w:p>
    <w:p>
      <w:pPr>
        <w:jc w:val="both"/>
      </w:pPr>
      <w:r>
        <w:rPr>
          <w:sz w:val="20"/>
        </w:rPr>
        <w:t xml:space="preserve">(2) Cuantumul contribuțiilor este următorul: </w:t>
      </w:r>
    </w:p>
    <w:p>
      <w:pPr>
        <w:jc w:val="both"/>
      </w:pPr>
      <w:r>
        <w:rPr>
          <w:sz w:val="20"/>
        </w:rPr>
        <w:t xml:space="preserve">a) impozitul pe venit: </w:t>
      </w:r>
      <w:r>
        <w:rPr>
          <w:b/>
          <w:sz w:val="20"/>
        </w:rPr>
        <w:t>{c_impozit_venit_procent}</w:t>
      </w:r>
      <w:r>
        <w:rPr>
          <w:sz w:val="20"/>
        </w:rPr>
        <w:t xml:space="preserve">% (reținut la sursă de angajator); </w:t>
      </w:r>
    </w:p>
    <w:p>
      <w:pPr>
        <w:jc w:val="both"/>
      </w:pPr>
      <w:r>
        <w:rPr>
          <w:sz w:val="20"/>
        </w:rPr>
        <w:t xml:space="preserve">b) contribuția la asigurările sociale (CAS): </w:t>
      </w:r>
      <w:r>
        <w:rPr>
          <w:b/>
          <w:sz w:val="20"/>
        </w:rPr>
        <w:t>{c_cas_procent}</w:t>
      </w:r>
      <w:r>
        <w:rPr>
          <w:sz w:val="20"/>
        </w:rPr>
        <w:t xml:space="preserve">%; </w:t>
      </w:r>
    </w:p>
    <w:p>
      <w:pPr>
        <w:jc w:val="both"/>
      </w:pPr>
      <w:r>
        <w:rPr>
          <w:sz w:val="20"/>
        </w:rPr>
        <w:t xml:space="preserve">c) contribuția la asigurările sociale de sănătate (CASS): </w:t>
      </w:r>
      <w:r>
        <w:rPr>
          <w:b/>
          <w:sz w:val="20"/>
        </w:rPr>
        <w:t>{c_cass_procent}</w:t>
      </w:r>
      <w:r>
        <w:rPr>
          <w:sz w:val="20"/>
        </w:rPr>
        <w:t xml:space="preserve">%; </w:t>
      </w:r>
    </w:p>
    <w:p>
      <w:pPr>
        <w:jc w:val="both"/>
      </w:pPr>
      <w:r>
        <w:rPr>
          <w:sz w:val="20"/>
        </w:rPr>
        <w:t xml:space="preserve">d) alte contribuții: </w:t>
      </w:r>
      <w:r>
        <w:rPr>
          <w:b/>
          <w:sz w:val="20"/>
        </w:rPr>
        <w:t>{c_alte_contributii}</w:t>
      </w:r>
      <w:r>
        <w:rPr>
          <w:sz w:val="20"/>
        </w:rPr>
        <w:t xml:space="preserve">. </w:t>
      </w:r>
    </w:p>
    <w:p>
      <w:pPr>
        <w:jc w:val="both"/>
      </w:pPr>
      <w:r>
        <w:rPr>
          <w:sz w:val="20"/>
        </w:rPr>
        <w:t xml:space="preserve">(3) Convenția de evitare a dublei impuneri aplicabilă este următoarea: </w:t>
      </w:r>
      <w:r>
        <w:rPr>
          <w:b/>
          <w:sz w:val="20"/>
        </w:rPr>
        <w:t>{c_conventie_evitare_dubla_impunere}</w:t>
      </w:r>
      <w:r>
        <w:rPr>
          <w:sz w:val="20"/>
        </w:rPr>
        <w:t xml:space="preserve">. </w:t>
      </w:r>
    </w:p>
    <w:p>
      <w:pPr>
        <w:jc w:val="both"/>
      </w:pPr>
      <w:r>
        <w:rPr>
          <w:sz w:val="20"/>
        </w:rPr>
        <w:t xml:space="preserve">(4) Convenția de evitare a dublei perceperi de contribuții sociale aplicabilă este următoarea: </w:t>
      </w:r>
      <w:r>
        <w:rPr>
          <w:b/>
          <w:sz w:val="20"/>
        </w:rPr>
        <w:t>{c_conventie_contributii_sociale}</w:t>
      </w:r>
      <w:r>
        <w:rPr>
          <w:sz w:val="20"/>
        </w:rPr>
        <w:t xml:space="preserve">. 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XI. Securitatea și sănătatea în muncă </w:t>
      </w:r>
    </w:p>
    <w:p>
      <w:pPr>
        <w:jc w:val="both"/>
      </w:pPr>
      <w:r>
        <w:rPr>
          <w:sz w:val="20"/>
        </w:rPr>
        <w:t xml:space="preserve">Art. 10. — (1) Angajatorul are obligația de a asigura salariatului condițiile de securitate și sănătate în muncă, potrivit Legii securității și sănătății în muncă nr. 319/2006, cu modificările și completările ulterioare. </w:t>
      </w:r>
    </w:p>
    <w:p>
      <w:pPr>
        <w:jc w:val="both"/>
      </w:pPr>
      <w:r>
        <w:rPr>
          <w:sz w:val="20"/>
        </w:rPr>
        <w:t>(2) Echipamentul individual de protecție este asigurat de angajator: da/nu.</w:t>
      </w:r>
    </w:p>
    <w:p>
      <w:pPr>
        <w:jc w:val="both"/>
      </w:pPr>
      <w:r>
        <w:rPr>
          <w:sz w:val="20"/>
        </w:rPr>
        <w:t xml:space="preserve">(3) Tipul activității este: normală/deosebită/specială. </w:t>
      </w:r>
    </w:p>
    <w:p>
      <w:pPr>
        <w:jc w:val="both"/>
      </w:pPr>
      <w:r>
        <w:rPr>
          <w:sz w:val="20"/>
        </w:rPr>
        <w:t xml:space="preserve">(4) Salariatul va fi supus examinării medicale la angajare și periodic, conform legislației în vigoare. 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XII. Asigurarea cazării și transportului </w:t>
      </w:r>
    </w:p>
    <w:p>
      <w:pPr>
        <w:jc w:val="both"/>
      </w:pPr>
      <w:r>
        <w:rPr>
          <w:sz w:val="20"/>
        </w:rPr>
        <w:t xml:space="preserve">Art. 11. — (1) Cazarea va fi asigurată de angajator/în sarcina salariatului. </w:t>
      </w:r>
    </w:p>
    <w:p>
      <w:pPr>
        <w:jc w:val="both"/>
      </w:pPr>
      <w:r>
        <w:rPr>
          <w:sz w:val="20"/>
        </w:rPr>
        <w:t xml:space="preserve">Condițiile de cazare: </w:t>
      </w:r>
      <w:r>
        <w:rPr>
          <w:b/>
          <w:sz w:val="20"/>
        </w:rPr>
        <w:t>{c_cazare_conditii}.</w:t>
      </w:r>
    </w:p>
    <w:p>
      <w:pPr>
        <w:jc w:val="both"/>
      </w:pPr>
      <w:r>
        <w:rPr>
          <w:sz w:val="20"/>
        </w:rPr>
        <w:t xml:space="preserve">Adresa locului de cazare: </w:t>
      </w:r>
      <w:r>
        <w:rPr>
          <w:b/>
          <w:sz w:val="20"/>
        </w:rPr>
        <w:t>{c_cazare_adresa}.</w:t>
      </w:r>
      <w:r>
        <w:rPr>
          <w:sz w:val="20"/>
        </w:rPr>
        <w:t xml:space="preserve"> </w:t>
      </w:r>
    </w:p>
    <w:p>
      <w:pPr>
        <w:jc w:val="both"/>
      </w:pPr>
      <w:r>
        <w:rPr>
          <w:sz w:val="20"/>
        </w:rPr>
        <w:t xml:space="preserve">Costul cazării (dacă este suportat de salariat): </w:t>
      </w:r>
      <w:r>
        <w:rPr>
          <w:b/>
          <w:sz w:val="20"/>
        </w:rPr>
        <w:t>{c_cazare_cost_salariat}</w:t>
      </w:r>
      <w:r>
        <w:rPr>
          <w:sz w:val="20"/>
        </w:rPr>
        <w:t xml:space="preserve"> lei/lună </w:t>
      </w:r>
    </w:p>
    <w:p>
      <w:pPr>
        <w:jc w:val="both"/>
      </w:pPr>
      <w:r>
        <w:rPr>
          <w:sz w:val="20"/>
        </w:rPr>
        <w:t>Hrana este: asigurată de angajator /în sarcina salariatului.</w:t>
      </w:r>
    </w:p>
    <w:p>
      <w:pPr>
        <w:jc w:val="both"/>
      </w:pPr>
      <w:r>
        <w:rPr>
          <w:sz w:val="20"/>
        </w:rPr>
        <w:t xml:space="preserve">În situația în care cazarea este asigurată de angajator, costul chiriei reținut din salariul salariatului nu poate depăși 25% din remunerația netă/salariul net al acestuia. </w:t>
      </w:r>
    </w:p>
    <w:p>
      <w:pPr>
        <w:jc w:val="both"/>
      </w:pPr>
      <w:r>
        <w:rPr>
          <w:sz w:val="20"/>
        </w:rPr>
        <w:t xml:space="preserve">Cuantumul convenit al chiriei este: </w:t>
      </w:r>
      <w:r>
        <w:rPr>
          <w:b/>
          <w:sz w:val="20"/>
        </w:rPr>
        <w:t xml:space="preserve">{c_chirie_cuantum} </w:t>
      </w:r>
      <w:r>
        <w:rPr>
          <w:sz w:val="20"/>
        </w:rPr>
        <w:t xml:space="preserve">lei/lună, reprezentând </w:t>
      </w:r>
      <w:r>
        <w:rPr>
          <w:b/>
          <w:sz w:val="20"/>
        </w:rPr>
        <w:t>{c_chirie_procent_salariu_net}</w:t>
      </w:r>
      <w:r>
        <w:rPr>
          <w:sz w:val="20"/>
        </w:rPr>
        <w:t xml:space="preserve">% din salariul net. </w:t>
      </w:r>
    </w:p>
    <w:p>
      <w:pPr>
        <w:jc w:val="both"/>
      </w:pPr>
      <w:r>
        <w:rPr>
          <w:sz w:val="20"/>
        </w:rPr>
        <w:t xml:space="preserve">(2) Transportul este asigurat astfel: </w:t>
      </w:r>
    </w:p>
    <w:p>
      <w:pPr>
        <w:jc w:val="both"/>
      </w:pPr>
      <w:r>
        <w:rPr>
          <w:sz w:val="20"/>
        </w:rPr>
        <w:t xml:space="preserve">— transportul din țara de origine până în România: asigurat de angajator/în sarcina salariatului; </w:t>
      </w:r>
    </w:p>
    <w:p>
      <w:pPr>
        <w:jc w:val="both"/>
      </w:pPr>
      <w:r>
        <w:rPr>
          <w:sz w:val="20"/>
        </w:rPr>
        <w:t xml:space="preserve">— transportul de la locul de cazare la locul de muncă: asigurat de angajator/în sarcina salariatului; </w:t>
      </w:r>
    </w:p>
    <w:p>
      <w:pPr>
        <w:jc w:val="both"/>
      </w:pPr>
      <w:r>
        <w:rPr>
          <w:sz w:val="20"/>
        </w:rPr>
        <w:t xml:space="preserve">— condițiile de repatriere (inclusiv în caz de boală profesională, accident de muncă sau deces): </w:t>
      </w:r>
      <w:r>
        <w:rPr>
          <w:b/>
          <w:sz w:val="20"/>
        </w:rPr>
        <w:t>{c_conditii_repatriere}</w:t>
      </w:r>
      <w:r>
        <w:rPr>
          <w:sz w:val="20"/>
        </w:rPr>
        <w:t xml:space="preserve">. 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XIII. Despăgubiri în caz de boală profesională, accident de muncă sau deces </w:t>
      </w:r>
    </w:p>
    <w:p>
      <w:pPr>
        <w:jc w:val="both"/>
      </w:pPr>
      <w:r>
        <w:rPr>
          <w:sz w:val="20"/>
        </w:rPr>
        <w:t xml:space="preserve">Art. 12. — Angajatorul asigură salariatul pentru riscurile de accident de muncă și boli profesionale, în condițiile Legii nr. 346/2002 privind asigurarea pentru accidente de muncă și boli profesionale, republicată, cu modificările și completările ulterioare. 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XIV. Drepturi și obligații generale ale angajatorului </w:t>
      </w:r>
    </w:p>
    <w:p>
      <w:pPr>
        <w:jc w:val="both"/>
      </w:pPr>
      <w:r>
        <w:rPr>
          <w:sz w:val="20"/>
        </w:rPr>
        <w:t xml:space="preserve">Art. 13. — Angajatorul are, în principal, următoarele drepturi și obligații: </w:t>
      </w:r>
    </w:p>
    <w:p>
      <w:pPr>
        <w:jc w:val="both"/>
      </w:pPr>
      <w:r>
        <w:rPr>
          <w:sz w:val="20"/>
        </w:rPr>
        <w:t xml:space="preserve">a) să stabilească atribuțiile corespunzătoare funcției, în condițiile legii; </w:t>
      </w:r>
    </w:p>
    <w:p>
      <w:pPr>
        <w:jc w:val="both"/>
      </w:pPr>
      <w:r>
        <w:rPr>
          <w:sz w:val="20"/>
        </w:rPr>
        <w:t xml:space="preserve">b) să exercite controlul asupra modului de îndeplinire a sarcinilor de serviciu; </w:t>
      </w:r>
    </w:p>
    <w:p>
      <w:pPr>
        <w:jc w:val="both"/>
      </w:pPr>
      <w:r>
        <w:rPr>
          <w:sz w:val="20"/>
        </w:rPr>
        <w:t xml:space="preserve">c) să constate săvârșirea abaterilor disciplinare și să aplice sancțiunile corespunzătoare, potrivit legii, contractului colectiv de muncă aplicabil și regulamentului intern; </w:t>
      </w:r>
    </w:p>
    <w:p>
      <w:pPr>
        <w:jc w:val="both"/>
      </w:pPr>
      <w:r>
        <w:rPr>
          <w:sz w:val="20"/>
        </w:rPr>
        <w:t xml:space="preserve">d) să acorde salariatului toate drepturile ce decurg din lege, contractul colectiv de muncă și contractul individual de muncă; </w:t>
      </w:r>
    </w:p>
    <w:p>
      <w:pPr>
        <w:jc w:val="both"/>
      </w:pPr>
      <w:r>
        <w:rPr>
          <w:sz w:val="20"/>
        </w:rPr>
        <w:t xml:space="preserve">e) să asigure permanent condițiile tehnice și organizatorice avute în vedere la elaborarea normelor de muncă; </w:t>
      </w:r>
    </w:p>
    <w:p>
      <w:pPr>
        <w:jc w:val="both"/>
      </w:pPr>
      <w:r>
        <w:rPr>
          <w:sz w:val="20"/>
        </w:rPr>
        <w:t xml:space="preserve">f) să informeze salariatul asupra condițiilor de muncă și asupra elementelor care privesc desfășurarea relațiilor de muncă; </w:t>
      </w:r>
    </w:p>
    <w:p>
      <w:pPr>
        <w:jc w:val="both"/>
      </w:pPr>
      <w:r>
        <w:rPr>
          <w:sz w:val="20"/>
        </w:rPr>
        <w:t xml:space="preserve">g) să elibereze, la cerere, toate documentele care atestă calitatea de salariat a solicitantului; </w:t>
      </w:r>
    </w:p>
    <w:p>
      <w:pPr>
        <w:jc w:val="both"/>
      </w:pPr>
      <w:r>
        <w:rPr>
          <w:sz w:val="20"/>
        </w:rPr>
        <w:t xml:space="preserve">h) să asigure confidențialitatea datelor cu caracter personal ale salariatului; </w:t>
      </w:r>
    </w:p>
    <w:p>
      <w:pPr>
        <w:jc w:val="both"/>
      </w:pPr>
      <w:r>
        <w:rPr>
          <w:sz w:val="20"/>
        </w:rPr>
        <w:t xml:space="preserve">i) să nu rețină documentele de identitate ale salariatului și să nu restricționeze libertatea de mișcare a acestuia în afara programului de lucru. 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XV. Drepturi și obligații generale ale salariatului </w:t>
      </w:r>
    </w:p>
    <w:p>
      <w:pPr>
        <w:jc w:val="both"/>
      </w:pPr>
      <w:r>
        <w:rPr>
          <w:sz w:val="20"/>
        </w:rPr>
        <w:t xml:space="preserve">Art. 14. — Salariatul are, în principal, următoarele drepturi și obligații: </w:t>
      </w:r>
    </w:p>
    <w:p>
      <w:pPr>
        <w:jc w:val="both"/>
      </w:pPr>
      <w:r>
        <w:rPr>
          <w:sz w:val="20"/>
        </w:rPr>
        <w:t xml:space="preserve">a) dreptul la salarizare pentru munca depusă; </w:t>
      </w:r>
    </w:p>
    <w:p>
      <w:pPr>
        <w:jc w:val="both"/>
      </w:pPr>
      <w:r>
        <w:rPr>
          <w:sz w:val="20"/>
        </w:rPr>
        <w:t xml:space="preserve">b) dreptul la repaus zilnic și săptămânal; </w:t>
      </w:r>
    </w:p>
    <w:p>
      <w:pPr>
        <w:jc w:val="both"/>
      </w:pPr>
      <w:r>
        <w:rPr>
          <w:sz w:val="20"/>
        </w:rPr>
        <w:t xml:space="preserve">c) dreptul la concediu de odihnă anual; </w:t>
      </w:r>
    </w:p>
    <w:p>
      <w:pPr>
        <w:jc w:val="both"/>
      </w:pPr>
      <w:r>
        <w:rPr>
          <w:sz w:val="20"/>
        </w:rPr>
        <w:t xml:space="preserve">d) dreptul la egalitate de șanse și de tratament; </w:t>
      </w:r>
    </w:p>
    <w:p>
      <w:pPr>
        <w:jc w:val="both"/>
      </w:pPr>
      <w:r>
        <w:rPr>
          <w:sz w:val="20"/>
        </w:rPr>
        <w:t xml:space="preserve">e) dreptul la demnitate în muncă; </w:t>
      </w:r>
    </w:p>
    <w:p>
      <w:pPr>
        <w:jc w:val="both"/>
      </w:pPr>
      <w:r>
        <w:rPr>
          <w:sz w:val="20"/>
        </w:rPr>
        <w:t xml:space="preserve">f) dreptul la securitate și sănătate în muncă; </w:t>
      </w:r>
    </w:p>
    <w:p>
      <w:pPr>
        <w:jc w:val="both"/>
      </w:pPr>
      <w:r>
        <w:rPr>
          <w:sz w:val="20"/>
        </w:rPr>
        <w:t xml:space="preserve">g) dreptul la acces la formare profesională; </w:t>
      </w:r>
    </w:p>
    <w:p>
      <w:pPr>
        <w:jc w:val="both"/>
      </w:pPr>
      <w:r>
        <w:rPr>
          <w:sz w:val="20"/>
        </w:rPr>
        <w:t xml:space="preserve">h) obligația de a realiza norma de muncă sau, după caz, de a îndeplini atribuțiile ce îi revin conform fișei postului; </w:t>
      </w:r>
    </w:p>
    <w:p>
      <w:pPr>
        <w:jc w:val="both"/>
      </w:pPr>
      <w:r>
        <w:rPr>
          <w:sz w:val="20"/>
        </w:rPr>
        <w:t xml:space="preserve">i) obligația de a respecta disciplina muncii; </w:t>
      </w:r>
    </w:p>
    <w:p>
      <w:pPr>
        <w:jc w:val="both"/>
      </w:pPr>
      <w:r>
        <w:rPr>
          <w:sz w:val="20"/>
        </w:rPr>
        <w:t xml:space="preserve">j) obligația de fidelitate față de angajator în executarea atribuțiilor de serviciu; </w:t>
      </w:r>
    </w:p>
    <w:p>
      <w:pPr>
        <w:jc w:val="both"/>
      </w:pPr>
      <w:r>
        <w:rPr>
          <w:sz w:val="20"/>
        </w:rPr>
        <w:t xml:space="preserve">k) obligația de a respecta măsurile de sănătate și securitate a muncii în unitate; </w:t>
      </w:r>
    </w:p>
    <w:p>
      <w:pPr>
        <w:jc w:val="both"/>
      </w:pPr>
      <w:r>
        <w:rPr>
          <w:sz w:val="20"/>
        </w:rPr>
        <w:t xml:space="preserve">l) obligația de a informa angajatorul de îndată ce a luat la cunoștință de existența unor nereguli, abateri sau pericole ce pot afecta desfășurarea activității; </w:t>
      </w:r>
    </w:p>
    <w:p>
      <w:pPr>
        <w:jc w:val="both"/>
      </w:pPr>
      <w:r>
        <w:rPr>
          <w:sz w:val="20"/>
        </w:rPr>
        <w:t xml:space="preserve">m) obligația de a respecta legislația română în vigoare pe toată durata șederii pe teritoriul României. 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XVI. Criteriile de evaluare a activității profesionale a străinului </w:t>
      </w:r>
    </w:p>
    <w:p>
      <w:pPr>
        <w:jc w:val="both"/>
      </w:pPr>
      <w:r>
        <w:rPr>
          <w:sz w:val="20"/>
        </w:rPr>
        <w:t xml:space="preserve">Art. 15. — Criteriile de evaluare a activității profesionale a străinului sunt următoarele: </w:t>
      </w:r>
    </w:p>
    <w:p>
      <w:pPr>
        <w:numPr>
          <w:ilvl w:val="0"/>
          <w:numId w:val="3"/>
        </w:numPr>
        <w:ind w:hanging="360" w:left="720"/>
        <w:jc w:val="both"/>
      </w:pPr>
      <w:r>
        <w:rPr>
          <w:b/>
          <w:color w:val="000000"/>
          <w:sz w:val="20"/>
          <w:highlight w:val="white"/>
        </w:rPr>
        <w:t>ÎNDEPLINIREA SARCINILOR</w:t>
      </w:r>
      <w:r>
        <w:rPr>
          <w:color w:val="000000"/>
          <w:sz w:val="20"/>
          <w:highlight w:val="white"/>
        </w:rPr>
        <w:t>: se ține seama de precizie, curățenie, îndemânare, organizarea muncii, utilizarea riguroasă a materiilor prime și materialelor;</w:t>
      </w:r>
    </w:p>
    <w:p>
      <w:pPr>
        <w:numPr>
          <w:ilvl w:val="0"/>
          <w:numId w:val="3"/>
        </w:numPr>
        <w:ind w:hanging="360" w:left="720"/>
        <w:jc w:val="both"/>
      </w:pPr>
      <w:r>
        <w:rPr>
          <w:b/>
          <w:color w:val="000000"/>
          <w:sz w:val="20"/>
          <w:highlight w:val="white"/>
        </w:rPr>
        <w:t>RELAȚIONARE</w:t>
      </w:r>
      <w:r>
        <w:rPr>
          <w:color w:val="000000"/>
          <w:sz w:val="20"/>
          <w:highlight w:val="white"/>
        </w:rPr>
        <w:t>: se ține seama de folosirea integral a programului de lucru, volumul de muncă realizat și capacitatea de a respecta planul lucrării în condiții normale de muncă;</w:t>
      </w:r>
    </w:p>
    <w:p>
      <w:pPr>
        <w:numPr>
          <w:ilvl w:val="0"/>
          <w:numId w:val="3"/>
        </w:numPr>
        <w:ind w:hanging="360" w:left="720"/>
        <w:jc w:val="both"/>
      </w:pPr>
      <w:r>
        <w:rPr>
          <w:b/>
          <w:color w:val="000000"/>
          <w:sz w:val="20"/>
          <w:highlight w:val="white"/>
        </w:rPr>
        <w:t>PERSONALE</w:t>
      </w:r>
      <w:r>
        <w:rPr>
          <w:color w:val="000000"/>
          <w:sz w:val="20"/>
          <w:highlight w:val="white"/>
        </w:rPr>
        <w:t>:</w:t>
      </w:r>
      <w:r>
        <w:rPr>
          <w:color w:val="000000"/>
          <w:sz w:val="20"/>
          <w:highlight w:val="white"/>
        </w:rPr>
        <w:t xml:space="preserve"> </w:t>
      </w:r>
      <w:r>
        <w:rPr>
          <w:color w:val="000000"/>
          <w:sz w:val="20"/>
          <w:highlight w:val="white"/>
        </w:rPr>
        <w:t>se ia în considerație capacitatea de a face față schimbărilor condițiilor de muncă, de a se acomoda cu noi situații, ușurința de a învăța noile îndatoriri;</w:t>
      </w:r>
    </w:p>
    <w:p>
      <w:pPr>
        <w:numPr>
          <w:ilvl w:val="0"/>
          <w:numId w:val="3"/>
        </w:numPr>
        <w:ind w:hanging="360" w:left="720"/>
        <w:jc w:val="both"/>
      </w:pPr>
      <w:r>
        <w:rPr>
          <w:b/>
          <w:color w:val="000000"/>
          <w:sz w:val="20"/>
          <w:highlight w:val="white"/>
        </w:rPr>
        <w:t>SITUAȚIONALE</w:t>
      </w:r>
      <w:r>
        <w:rPr>
          <w:color w:val="000000"/>
          <w:sz w:val="20"/>
          <w:highlight w:val="white"/>
        </w:rPr>
        <w:t>:</w:t>
      </w:r>
      <w:r>
        <w:rPr>
          <w:color w:val="000000"/>
          <w:sz w:val="20"/>
          <w:highlight w:val="white"/>
        </w:rPr>
        <w:t xml:space="preserve"> </w:t>
      </w:r>
      <w:r>
        <w:rPr>
          <w:color w:val="000000"/>
          <w:sz w:val="20"/>
          <w:highlight w:val="white"/>
        </w:rPr>
        <w:t>se ia în considerație capacitatea de a evalua o idee sau o situație nou apăruta, de a trage concluzia corectă, capacitatea de a lua o decizie corectă;</w:t>
      </w:r>
    </w:p>
    <w:p>
      <w:pPr>
        <w:numPr>
          <w:ilvl w:val="0"/>
          <w:numId w:val="3"/>
        </w:numPr>
        <w:ind w:hanging="360" w:left="720"/>
        <w:jc w:val="both"/>
      </w:pPr>
      <w:r>
        <w:rPr>
          <w:b/>
          <w:color w:val="000000"/>
          <w:sz w:val="20"/>
          <w:highlight w:val="white"/>
        </w:rPr>
        <w:t>MANAGERIALE</w:t>
      </w:r>
      <w:r>
        <w:rPr>
          <w:color w:val="000000"/>
          <w:sz w:val="20"/>
          <w:highlight w:val="white"/>
        </w:rPr>
        <w:t>- se ia în considerație abilitatea de folosire eficientă a resurselor puse la dispoziție de unitate, de corelare a inițiativei cu capacitatea de previziune și control.</w:t>
      </w:r>
    </w:p>
    <w:p>
      <w:pPr>
        <w:ind w:left="720"/>
        <w:jc w:val="both"/>
      </w:pPr>
    </w:p>
    <w:p>
      <w:pPr>
        <w:jc w:val="both"/>
      </w:pPr>
      <w:r>
        <w:rPr>
          <w:b/>
          <w:sz w:val="20"/>
        </w:rPr>
        <w:t xml:space="preserve">XVII. Clauze speciale privind lucrătorul străin </w:t>
      </w:r>
    </w:p>
    <w:p>
      <w:pPr>
        <w:jc w:val="both"/>
      </w:pPr>
      <w:r>
        <w:rPr>
          <w:sz w:val="20"/>
        </w:rPr>
        <w:t xml:space="preserve">Art. 16. — (1) Salariatul — lucrătorul străin prevăzut la art. 272 din Ordonanța de urgență a Guvernului nr. 194/2002 privind regimul străinilor în România, republicată, cu modificările și completările ulterioare, nu poate avea inițiativa schimbării angajatorului pentru o perioadă de 6 luni de la data începerii activității pe teritoriul României, înregistrată în REGES-ONLINE. </w:t>
      </w:r>
    </w:p>
    <w:p>
      <w:pPr>
        <w:jc w:val="both"/>
      </w:pPr>
      <w:r>
        <w:rPr>
          <w:sz w:val="20"/>
        </w:rPr>
        <w:t xml:space="preserve">Data înregistrării în REGES-ONLINE este următoarea </w:t>
      </w:r>
      <w:r>
        <w:rPr>
          <w:b/>
          <w:color w:val="1C1E21"/>
          <w:sz w:val="20"/>
        </w:rPr>
        <w:t>{c_data_inceput}</w:t>
      </w:r>
      <w:r>
        <w:rPr>
          <w:sz w:val="20"/>
        </w:rPr>
        <w:t xml:space="preserve">, potrivit art. 40 alin. (2) din Ordonanța de urgență a Guvernului nr. 32/2026. </w:t>
      </w:r>
    </w:p>
    <w:p>
      <w:pPr>
        <w:jc w:val="both"/>
      </w:pPr>
      <w:r>
        <w:rPr>
          <w:sz w:val="20"/>
        </w:rPr>
        <w:t xml:space="preserve">(2) Prin excepție, salariatul poate iniția schimbarea angajatorului anterior perioadei de 6 luni în cazuri justificate de încălcare gravă de către angajator a clauzelor contractuale sau a raporturilor de muncă, potrivit art. 40 alin. (3) din Ordonanța de urgență a Guvernului nr. 32/2026. </w:t>
      </w:r>
    </w:p>
    <w:p>
      <w:pPr>
        <w:jc w:val="both"/>
      </w:pPr>
      <w:r>
        <w:rPr>
          <w:sz w:val="20"/>
        </w:rPr>
        <w:t xml:space="preserve">(3) În situația nerespectării perioadei de 6 luni, angajatorul poate recupera sumele investite pentru cursurile de limba română, pentru cazare și transport, potrivit art. 40 alin. (9) din Ordonanța de urgență a Guvernului nr. 32/2026. </w:t>
      </w:r>
    </w:p>
    <w:p>
      <w:pPr>
        <w:jc w:val="both"/>
      </w:pPr>
      <w:r>
        <w:rPr>
          <w:sz w:val="20"/>
        </w:rPr>
        <w:t xml:space="preserve">(4) După expirarea perioadei prevăzute la alin. (1) și (2), străinul poate schimba angajatorul doar prin intermediul agenției de plasare care este parte a contractului de plasare până la împlinirea perioadei de 2 ani de la data începerii activității pe teritoriul României, înregistrată în REGES-ONLINE. </w:t>
      </w:r>
    </w:p>
    <w:p>
      <w:pPr>
        <w:jc w:val="both"/>
      </w:pPr>
      <w:r>
        <w:rPr>
          <w:sz w:val="20"/>
        </w:rPr>
        <w:t xml:space="preserve">Art. 17. — Angajatorul se obligă să asigure salariatului cursuri de limba română care să cuprindă și elemente de integrare culturală și socială, pe o perioadă de minimum 6 luni de la data înregistrării activității în REGES-ONLINE, cu o durată de cel puțin 6 ore pe săptămână, potrivit art. 7 alin. (1) lit. g) din Ordonanța de urgență a Guvernului nr. 32/2026. </w:t>
      </w:r>
    </w:p>
    <w:p>
      <w:pPr>
        <w:jc w:val="both"/>
      </w:pPr>
      <w:r>
        <w:rPr>
          <w:sz w:val="20"/>
        </w:rPr>
        <w:t xml:space="preserve">Modalitatea de organizare: </w:t>
      </w:r>
      <w:r>
        <w:rPr>
          <w:b/>
          <w:sz w:val="20"/>
        </w:rPr>
        <w:t>{c_curs_limba_romana_modalitate_organizare}</w:t>
      </w:r>
      <w:r>
        <w:rPr>
          <w:sz w:val="20"/>
        </w:rPr>
        <w:t xml:space="preserve">; furnizorul/instituția: </w:t>
      </w:r>
      <w:r>
        <w:rPr>
          <w:b/>
          <w:sz w:val="20"/>
        </w:rPr>
        <w:t>{c_curs_limba_romana_furnizor}</w:t>
      </w:r>
      <w:r>
        <w:rPr>
          <w:sz w:val="20"/>
        </w:rPr>
        <w:t xml:space="preserve">; programul cursurilor: </w:t>
      </w:r>
      <w:r>
        <w:rPr>
          <w:b/>
          <w:sz w:val="20"/>
        </w:rPr>
        <w:t>{c_curs_limba_romana_program}</w:t>
      </w:r>
      <w:r>
        <w:rPr>
          <w:sz w:val="20"/>
        </w:rPr>
        <w:t>.</w:t>
      </w:r>
    </w:p>
    <w:p>
      <w:pPr>
        <w:jc w:val="both"/>
      </w:pPr>
      <w:r>
        <w:rPr>
          <w:sz w:val="20"/>
        </w:rPr>
        <w:t xml:space="preserve">Art. 18. — Angajatorul notifică agenția de plasare și Inspectoratul General pentru Imigrări, în termen de 5 zile lucrătoare de la data constatării, cu privire la: </w:t>
      </w:r>
    </w:p>
    <w:p>
      <w:pPr>
        <w:jc w:val="both"/>
      </w:pPr>
      <w:r>
        <w:rPr>
          <w:sz w:val="20"/>
        </w:rPr>
        <w:t xml:space="preserve">(i) absența nemotivată a salariatului pentru mai mult de 3 zile lucrătoare consecutive; </w:t>
      </w:r>
    </w:p>
    <w:p>
      <w:pPr>
        <w:jc w:val="both"/>
      </w:pPr>
      <w:r>
        <w:rPr>
          <w:sz w:val="20"/>
        </w:rPr>
        <w:t xml:space="preserve">(ii) încetarea prezentului contract individual de muncă; </w:t>
      </w:r>
    </w:p>
    <w:p>
      <w:pPr>
        <w:jc w:val="both"/>
      </w:pPr>
      <w:r>
        <w:rPr>
          <w:sz w:val="20"/>
        </w:rPr>
        <w:t xml:space="preserve">(iii) orice situație în care salariatul se află în pericol sau este supus exploatării, potrivit art. 7 alin. (1) lit. e) din Ordonanța de urgență a Guvernului nr. 32/2026. 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XVIII. Alte clauze </w:t>
      </w:r>
    </w:p>
    <w:p>
      <w:pPr>
        <w:jc w:val="both"/>
      </w:pPr>
      <w:r>
        <w:rPr>
          <w:sz w:val="20"/>
        </w:rPr>
        <w:t xml:space="preserve">Art. 19. — (1) Perioada de preaviz în cazul concedierii este de </w:t>
      </w:r>
      <w:r>
        <w:rPr>
          <w:b/>
          <w:color w:val="000000"/>
          <w:sz w:val="20"/>
          <w:highlight w:val="white"/>
        </w:rPr>
        <w:t>{c_numar_zile_preaviz_concediere}</w:t>
      </w:r>
      <w:r>
        <w:rPr>
          <w:sz w:val="20"/>
        </w:rPr>
        <w:t xml:space="preserve"> zile lucrătoare, conform Legii nr. 53/2003 — Codul muncii, republicată, cu modificările și completările ulterioare, sau contractului colectiv de muncă aplicabil, după caz. </w:t>
      </w:r>
    </w:p>
    <w:p>
      <w:pPr>
        <w:jc w:val="both"/>
      </w:pPr>
      <w:r>
        <w:rPr>
          <w:sz w:val="20"/>
        </w:rPr>
        <w:t xml:space="preserve">(2) Perioada de preaviz în cazul demisiei este de </w:t>
      </w:r>
      <w:r>
        <w:rPr>
          <w:b/>
          <w:color w:val="000000"/>
          <w:sz w:val="20"/>
          <w:highlight w:val="white"/>
        </w:rPr>
        <w:t>{c_numar_zile_preaviz_demisie}</w:t>
      </w:r>
      <w:r>
        <w:rPr>
          <w:sz w:val="20"/>
        </w:rPr>
        <w:t xml:space="preserve"> zile lucrătoare, conform Legii nr. 53/2003 — Codul muncii, republicată, cu modificările și completările ulterioare, sau contractului colectiv de muncă aplicabil. </w:t>
      </w:r>
    </w:p>
    <w:p>
      <w:pPr>
        <w:jc w:val="both"/>
      </w:pPr>
      <w:r>
        <w:rPr>
          <w:sz w:val="20"/>
        </w:rPr>
        <w:t xml:space="preserve">(3) Alte clauze sunt următoarele: </w:t>
      </w:r>
      <w:r>
        <w:rPr>
          <w:b/>
          <w:sz w:val="20"/>
        </w:rPr>
        <w:t>{c_alte_clauze}</w:t>
      </w:r>
      <w:r>
        <w:rPr>
          <w:sz w:val="20"/>
        </w:rPr>
        <w:t>.</w:t>
      </w:r>
    </w:p>
    <w:p>
      <w:pPr>
        <w:jc w:val="both"/>
      </w:pPr>
    </w:p>
    <w:p>
      <w:pPr>
        <w:jc w:val="both"/>
      </w:pPr>
      <w:r>
        <w:rPr>
          <w:b/>
          <w:sz w:val="20"/>
        </w:rPr>
        <w:t xml:space="preserve">XIX. Dispoziții finale </w:t>
      </w:r>
    </w:p>
    <w:p>
      <w:pPr>
        <w:jc w:val="both"/>
      </w:pPr>
      <w:r>
        <w:rPr>
          <w:sz w:val="20"/>
        </w:rPr>
        <w:t xml:space="preserve">Art. 20. — (1) Prezentul contract individual de muncă se completează cu dispozițiile Legii nr. 53/2003 — Codul muncii, republicată, cu modificările și completările ulterioare, cu contractul colectiv de muncă aplicabil și cu regulamentul intern al angajatorului. </w:t>
      </w:r>
    </w:p>
    <w:p>
      <w:pPr>
        <w:jc w:val="both"/>
      </w:pPr>
      <w:r>
        <w:rPr>
          <w:sz w:val="20"/>
        </w:rPr>
        <w:t xml:space="preserve">(2) Orice modificare a prezentului contract individual de muncă se realizează prin act adițional, în condițiile legii. </w:t>
      </w:r>
    </w:p>
    <w:p>
      <w:pPr>
        <w:jc w:val="both"/>
      </w:pPr>
      <w:r>
        <w:rPr>
          <w:sz w:val="20"/>
        </w:rPr>
        <w:t xml:space="preserve">(3) Prezentul contract individual de muncă se înregistrează în Registrul general de evidență a salariaților — REGES-ONLINE, potrivit Hotărârii Guvernului nr. 295/2025 privind Registrul general de evidență a salariaților — REGES-ONLINE, cu modificările ulterioare. </w:t>
      </w:r>
    </w:p>
    <w:p>
      <w:pPr>
        <w:jc w:val="both"/>
      </w:pPr>
      <w:r>
        <w:rPr>
          <w:sz w:val="20"/>
        </w:rPr>
        <w:t xml:space="preserve">(4) Litigiile în legătură cu executarea, modificarea, suspendarea sau încetarea prezentului contract individual de muncă sunt de competența instanțelor judecătorești de drept comun cu jurisdicție în materia litigiilor de muncă. </w:t>
      </w:r>
    </w:p>
    <w:p>
      <w:pPr>
        <w:jc w:val="both"/>
      </w:pPr>
      <w:r>
        <w:rPr>
          <w:sz w:val="20"/>
        </w:rPr>
        <w:t xml:space="preserve">(5) Prezentul contract a fost redactat în </w:t>
      </w:r>
      <w:r>
        <w:rPr>
          <w:b/>
          <w:sz w:val="20"/>
        </w:rPr>
        <w:t>{c_numar_exemplare_originale}</w:t>
      </w:r>
      <w:r>
        <w:rPr>
          <w:sz w:val="20"/>
        </w:rPr>
        <w:t xml:space="preserve"> exemplare originale, câte unul pentru fiecare parte contractantă. </w:t>
      </w:r>
    </w:p>
    <w:p>
      <w:pPr>
        <w:jc w:val="both"/>
      </w:pPr>
    </w:p>
    <w:tbl>
      <w:tblPr>
        <w:tblW w:type="dxa" w:w="9360"/>
      </w:tblPr>
      <w:tblGrid>
        <w:gridCol w:w="4680"/>
        <w:gridCol w:w="4680"/>
      </w:tblGrid>
      <w:tr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color w:val="000000"/>
                <w:sz w:val="20"/>
                <w:highlight w:val="white"/>
              </w:rPr>
              <w:t>Angajator,</w:t>
            </w:r>
          </w:p>
        </w:tc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color w:val="000000"/>
                <w:sz w:val="20"/>
                <w:highlight w:val="white"/>
              </w:rPr>
              <w:t>Salariat,</w:t>
            </w:r>
          </w:p>
        </w:tc>
      </w:tr>
      <w:tr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b/>
                <w:color w:val="000000"/>
                <w:sz w:val="20"/>
                <w:highlight w:val="white"/>
              </w:rPr>
              <w:t>{a_denumire}</w:t>
            </w:r>
          </w:p>
        </w:tc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b/>
                <w:color w:val="000000"/>
                <w:sz w:val="20"/>
                <w:highlight w:val="white"/>
              </w:rPr>
              <w:t>{s_nume} {s_prenume}</w:t>
            </w:r>
          </w:p>
        </w:tc>
      </w:tr>
      <w:tr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b/>
                <w:color w:val="000000"/>
                <w:sz w:val="20"/>
                <w:highlight w:val="white"/>
              </w:rPr>
              <w:t>{a_rl_nume}</w:t>
            </w:r>
          </w:p>
          <w:p>
            <w:pPr>
              <w:jc w:val="both"/>
            </w:pPr>
            <w:r>
              <w:rPr>
                <w:color w:val="000000"/>
                <w:sz w:val="20"/>
                <w:highlight w:val="white"/>
              </w:rPr>
              <w:t>Semnătura</w:t>
            </w:r>
            <w:r>
              <w:rPr>
                <w:color w:val="000000"/>
                <w:sz w:val="20"/>
              </w:rPr>
              <w:t xml:space="preserve"> {space}</w:t>
            </w:r>
          </w:p>
        </w:tc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color w:val="000000"/>
                <w:sz w:val="20"/>
                <w:highlight w:val="white"/>
              </w:rPr>
              <w:t>Semnătura</w:t>
            </w:r>
            <w:r>
              <w:rPr>
                <w:color w:val="000000"/>
                <w:sz w:val="20"/>
              </w:rPr>
              <w:t xml:space="preserve"> {space}</w:t>
            </w:r>
          </w:p>
        </w:tc>
      </w:tr>
      <w:tr>
        <w:tc>
          <w:tcPr>
            <w:tcW w:type="dxa" w:w="4680"/>
            <w:vAlign w:val="top"/>
          </w:tcPr>
          <w:p>
            <w:pPr>
              <w:jc w:val="both"/>
            </w:pPr>
          </w:p>
        </w:tc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i/>
                <w:sz w:val="20"/>
              </w:rPr>
              <w:t>Sunt de acord cu prelucrarea datelor personale (G.D.P.R.) potrivit REGULAMENTULUI (UE) 2016/679 în scopul încheierii unui contract individual de muncă și derulării raporturilor de muncă.</w:t>
            </w:r>
          </w:p>
          <w:p>
            <w:pPr>
              <w:jc w:val="both"/>
            </w:pPr>
            <w:r>
              <w:rPr>
                <w:b/>
                <w:color w:val="000000"/>
                <w:sz w:val="20"/>
                <w:highlight w:val="white"/>
              </w:rPr>
              <w:t>Am primit un exemplar în original</w:t>
            </w:r>
            <w:r>
              <w:rPr>
                <w:b/>
                <w:color w:val="000000"/>
                <w:sz w:val="20"/>
                <w:highlight w:val="white"/>
              </w:rPr>
              <w:t xml:space="preserve"> </w:t>
            </w:r>
          </w:p>
          <w:p>
            <w:pPr>
              <w:jc w:val="both"/>
            </w:pPr>
          </w:p>
          <w:p>
            <w:pPr>
              <w:jc w:val="both"/>
            </w:pPr>
            <w:r>
              <w:rPr>
                <w:color w:val="000000"/>
                <w:sz w:val="20"/>
              </w:rPr>
              <w:t>Semnătura {space}</w:t>
            </w:r>
          </w:p>
        </w:tc>
      </w:tr>
      <w:tr>
        <w:tc>
          <w:tcPr>
            <w:tcW w:type="dxa" w:w="4680"/>
            <w:vAlign w:val="top"/>
          </w:tcPr>
          <w:p>
            <w:pPr>
              <w:jc w:val="both"/>
            </w:pPr>
          </w:p>
        </w:tc>
        <w:tc>
          <w:tcPr>
            <w:tcW w:type="dxa" w:w="4680"/>
            <w:vAlign w:val="top"/>
          </w:tcPr>
          <w:p>
            <w:pPr>
              <w:jc w:val="both"/>
            </w:pPr>
            <w:r>
              <w:rPr>
                <w:color w:val="000000"/>
                <w:sz w:val="20"/>
                <w:highlight w:val="white"/>
              </w:rPr>
              <w:t>{data_curenta}</w:t>
            </w:r>
          </w:p>
        </w:tc>
      </w:tr>
    </w:tbl>
    <w:p w14:paraId="13C88724" w14:textId="13C88724">
      <w:pPr>
        <w:jc w:val="center"/>
        <w:rPr>
          <w:rFonts w:cstheme="minorHAnsi"/>
          <w:b/>
          <w:sz w:val="20"/>
          <w:szCs w:val="20"/>
          <w:lang w:val="ro-RO"/>
        </w:rPr>
      </w:pPr>
      <w:bookmarkStart w:id="0" w:name="_GoBack"/>
      <w:proofErr w:type="spellStart"/>
      <w:proofErr w:type="spellEnd"/>
      <w:proofErr w:type="spellStart"/>
      <w:proofErr w:type="spellEnd"/>
    </w:p>
    <w:bookmarkEnd w:id="0"/>
    <w:p w14:paraId="5F6CDE6F" w14:textId="77777777" w:rsidP="00714520" w:rsidR="00810114" w:rsidRDefault="00810114" w:rsidRPr="00714520">
      <w:pPr>
        <w:jc w:val="both"/>
        <w:rPr>
          <w:rFonts w:cstheme="minorHAnsi"/>
          <w:sz w:val="20"/>
          <w:szCs w:val="20"/>
          <w:lang w:val="ro-RO"/>
        </w:rPr>
      </w:pP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r w:rsidRPr="00714520">
        <w:rPr>
          <w:rFonts w:cstheme="minorHAnsi"/>
          <w:sz w:val="20"/>
          <w:szCs w:val="20"/>
          <w:lang w:val="ro-RO"/>
        </w:rPr>
        <w:lastRenderedPageBreak/>
      </w: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</w:p>
    <w:sectPr w:rsidR="009E5743" w:rsidRPr="00714520">
      <w:headerReference r:id="rId7" w:type="default"/>
      <w:pgSz w:h="15840" w:w="12240"/>
      <w:pgMar w:bottom="1440" w:footer="720" w:gutter="0" w:header="720" w:left="1440" w:right="1440" w:top="1440"/>
      <w:cols w:space="720"/>
      <w:docGrid w:linePitch="360"/>
    </w:sectPr>
  </w:body>
</w:document>
</file>

<file path=word/endnotes.xml><?xml version="1.0" encoding="utf-8"?>
<w:endnotes xmlns:cx="http://schemas.microsoft.com/office/drawing/20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endnote w:id="-1" w:type="separator">
    <w:p w14:paraId="657D2B80" w14:textId="77777777" w:rsidP="00B6650D" w:rsidR="00E035D0" w:rsidRDefault="00E035D0">
      <w:pPr>
        <w:spacing w:after="0" w:line="240" w:lineRule="auto"/>
      </w:pPr>
      <w:r>
        <w:separator/>
      </w:r>
    </w:p>
  </w:endnote>
  <w:endnote w:id="0" w:type="continuationSeparator">
    <w:p w14:paraId="673420C5" w14:textId="77777777" w:rsidP="00B6650D" w:rsidR="00E035D0" w:rsidRDefault="00E0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csb0="0000019F" w:csb1="00000000" w:usb0="A00006FF" w:usb1="4000205B" w:usb2="00000010" w:usb3="00000000"/>
  </w:font>
  <w:font w:name="Times New Roman">
    <w:panose1 w:val="02020603050405020304"/>
    <w:charset w:val="00"/>
    <w:family w:val="roman"/>
    <w:pitch w:val="variable"/>
    <w:sig w:csb0="000001FF" w:csb1="00000000" w:usb0="E0002EFF" w:usb1="C000785B" w:usb2="00000009" w:usb3="00000000"/>
  </w:font>
  <w:font w:name="Calibri">
    <w:panose1 w:val="020F0502020204030204"/>
    <w:charset w:val="00"/>
    <w:family w:val="swiss"/>
    <w:pitch w:val="variable"/>
    <w:sig w:csb0="000001FF" w:csb1="00000000" w:usb0="E4002EFF" w:usb1="C000247B" w:usb2="00000009" w:usb3="00000000"/>
  </w:font>
  <w:font w:name="Segoe UI">
    <w:panose1 w:val="020B0502040204020203"/>
    <w:charset w:val="00"/>
    <w:family w:val="swiss"/>
    <w:pitch w:val="variable"/>
    <w:sig w:csb0="000001FF" w:csb1="00000000" w:usb0="E4002EFF" w:usb1="C000E47F" w:usb2="00000009" w:usb3="00000000"/>
  </w:font>
  <w:font w:name="Calibri Light">
    <w:panose1 w:val="020F0302020204030204"/>
    <w:charset w:val="00"/>
    <w:family w:val="swiss"/>
    <w:pitch w:val="variable"/>
    <w:sig w:csb0="000001FF" w:csb1="00000000" w:usb0="E4002EFF" w:usb1="C000247B" w:usb2="00000009" w:usb3="00000000"/>
  </w:font>
</w:fonts>
</file>

<file path=word/footnotes.xml><?xml version="1.0" encoding="utf-8"?>
<w:footnotes xmlns:cx="http://schemas.microsoft.com/office/drawing/20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footnote w:id="-1" w:type="separator">
    <w:p w14:paraId="32C66A36" w14:textId="77777777" w:rsidP="00B6650D" w:rsidR="00E035D0" w:rsidRDefault="00E035D0">
      <w:pPr>
        <w:spacing w:after="0" w:line="240" w:lineRule="auto"/>
      </w:pPr>
      <w:r>
        <w:separator/>
      </w:r>
    </w:p>
  </w:footnote>
  <w:footnote w:id="0" w:type="continuationSeparator">
    <w:p w14:paraId="7A9CE2ED" w14:textId="77777777" w:rsidP="00B6650D" w:rsidR="00E035D0" w:rsidRDefault="00E0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cx="http://schemas.microsoft.com/office/drawing/20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14:paraId="0AC23BC5" w14:textId="77777777" w:rsidP="00B6650D" w:rsidR="00B6650D" w:rsidRDefault="00B6650D">
    <w:pPr>
      <w:spacing w:after="0"/>
      <w:jc w:val="both"/>
      <w:rPr>
        <w:rFonts w:cstheme="minorHAnsi"/>
        <w:color w:themeColor="text1" w:val="000000"/>
        <w:sz w:val="20"/>
        <w:szCs w:val="20"/>
        <w:lang w:val="ro-RO"/>
      </w:rPr>
    </w:pPr>
    <w:bookmarkStart w:id="1" w:name="_1p76oc33f663"/>
    <w:bookmarkEnd w:id="1"/>
    <w:r>
      <w:rPr>
        <w:rFonts w:cstheme="minorHAnsi"/>
        <w:b/>
        <w:color w:themeColor="text1" w:val="000000"/>
        <w:sz w:val="20"/>
        <w:szCs w:val="20"/>
        <w:lang w:val="ro-RO"/>
      </w:rPr>
      <w:t xml:space="preserve">Unitatea: </w:t>
    </w:r>
    <w:r>
      <w:rPr>
        <w:rFonts w:cstheme="minorHAnsi"/>
        <w:b/>
        <w:color w:themeColor="text1" w:val="000000"/>
        <w:sz w:val="20"/>
        <w:szCs w:val="20"/>
        <w:lang w:val="ro-RO"/>
      </w:rPr>
      <w:tab/>
    </w:r>
    <w:r>
      <w:rPr>
        <w:rFonts w:cstheme="minorHAnsi" w:eastAsia="Calibri"/>
        <w:b/>
        <w:color w:themeColor="text1" w:val="000000"/>
        <w:sz w:val="20"/>
        <w:szCs w:val="20"/>
        <w:lang w:val="ro-RO"/>
      </w:rPr>
      <w:t>{</w:t>
    </w:r>
    <w:proofErr w:type="spellStart"/>
    <w:r>
      <w:rPr>
        <w:rFonts w:cstheme="minorHAnsi" w:eastAsia="Calibri"/>
        <w:b/>
        <w:color w:themeColor="text1" w:val="000000"/>
        <w:sz w:val="20"/>
        <w:szCs w:val="20"/>
        <w:lang w:val="ro-RO"/>
      </w:rPr>
      <w:t>a_denumire</w:t>
    </w:r>
    <w:proofErr w:type="spellEnd"/>
    <w:r>
      <w:rPr>
        <w:rFonts w:cstheme="minorHAnsi" w:eastAsia="Calibri"/>
        <w:b/>
        <w:color w:themeColor="text1" w:val="000000"/>
        <w:sz w:val="20"/>
        <w:szCs w:val="20"/>
        <w:lang w:val="ro-RO"/>
      </w:rPr>
      <w:t>}</w:t>
    </w:r>
  </w:p>
  <w:p w14:paraId="587BBA79" w14:textId="77777777" w:rsidP="00B6650D" w:rsidR="00B6650D" w:rsidRDefault="00B6650D">
    <w:pPr>
      <w:spacing w:after="0"/>
      <w:jc w:val="both"/>
      <w:rPr>
        <w:rFonts w:cstheme="minorHAnsi"/>
        <w:color w:themeColor="text1" w:val="000000"/>
        <w:sz w:val="20"/>
        <w:szCs w:val="20"/>
        <w:lang w:val="ro-RO"/>
      </w:rPr>
    </w:pPr>
    <w:r>
      <w:rPr>
        <w:rFonts w:cstheme="minorHAnsi"/>
        <w:b/>
        <w:color w:themeColor="text1" w:val="000000"/>
        <w:sz w:val="20"/>
        <w:szCs w:val="20"/>
        <w:lang w:val="ro-RO"/>
      </w:rPr>
      <w:t>Sediul in:</w:t>
    </w:r>
    <w:r>
      <w:rPr>
        <w:rFonts w:cstheme="minorHAnsi"/>
        <w:b/>
        <w:color w:themeColor="text1" w:val="000000"/>
        <w:sz w:val="20"/>
        <w:szCs w:val="20"/>
        <w:lang w:val="ro-RO"/>
      </w:rPr>
      <w:tab/>
    </w:r>
    <w:r w:rsidRPr="0021625F">
      <w:rPr>
        <w:rFonts w:ascii="Calibri" w:cs="Calibri" w:hAnsi="Calibri"/>
        <w:b/>
        <w:color w:themeColor="text1" w:val="000000"/>
        <w:sz w:val="20"/>
        <w:szCs w:val="20"/>
        <w:lang w:val="ro-RO"/>
      </w:rPr>
      <w:t>{</w:t>
    </w:r>
    <w:proofErr w:type="spellStart"/>
    <w:r w:rsidRPr="0021625F">
      <w:rPr>
        <w:rFonts w:ascii="Calibri" w:cs="Calibri" w:hAnsi="Calibri"/>
        <w:b/>
        <w:color w:themeColor="text1" w:val="000000"/>
        <w:sz w:val="20"/>
        <w:szCs w:val="20"/>
        <w:lang w:val="ro-RO"/>
      </w:rPr>
      <w:t>a_localitate</w:t>
    </w:r>
    <w:proofErr w:type="spellEnd"/>
    <w:r w:rsidRPr="0021625F">
      <w:rPr>
        <w:rFonts w:ascii="Calibri" w:cs="Calibri" w:hAnsi="Calibri"/>
        <w:b/>
        <w:color w:themeColor="text1" w:val="000000"/>
        <w:sz w:val="20"/>
        <w:szCs w:val="20"/>
        <w:lang w:val="ro-RO"/>
      </w:rPr>
      <w:t>}, {</w:t>
    </w:r>
    <w:proofErr w:type="spellStart"/>
    <w:r w:rsidRPr="0021625F">
      <w:rPr>
        <w:rFonts w:ascii="Calibri" w:cs="Calibri" w:hAnsi="Calibri"/>
        <w:b/>
        <w:color w:themeColor="text1" w:val="000000"/>
        <w:sz w:val="20"/>
        <w:szCs w:val="20"/>
        <w:lang w:val="ro-RO"/>
      </w:rPr>
      <w:t>a_judet</w:t>
    </w:r>
    <w:proofErr w:type="spellEnd"/>
    <w:r w:rsidRPr="0021625F">
      <w:rPr>
        <w:rFonts w:ascii="Calibri" w:cs="Calibri" w:hAnsi="Calibri"/>
        <w:b/>
        <w:color w:themeColor="text1" w:val="000000"/>
        <w:sz w:val="20"/>
        <w:szCs w:val="20"/>
        <w:lang w:val="ro-RO"/>
      </w:rPr>
      <w:t>}, {</w:t>
    </w:r>
    <w:proofErr w:type="spellStart"/>
    <w:r w:rsidRPr="0021625F">
      <w:rPr>
        <w:rFonts w:ascii="Calibri" w:cs="Calibri" w:hAnsi="Calibri"/>
        <w:b/>
        <w:color w:themeColor="text1" w:val="000000"/>
        <w:sz w:val="20"/>
        <w:szCs w:val="20"/>
        <w:lang w:val="ro-RO"/>
      </w:rPr>
      <w:t>a_adresa</w:t>
    </w:r>
    <w:proofErr w:type="spellEnd"/>
    <w:r w:rsidRPr="0021625F">
      <w:rPr>
        <w:rFonts w:ascii="Calibri" w:cs="Calibri" w:hAnsi="Calibri"/>
        <w:b/>
        <w:color w:themeColor="text1" w:val="000000"/>
        <w:sz w:val="20"/>
        <w:szCs w:val="20"/>
        <w:lang w:val="ro-RO"/>
      </w:rPr>
      <w:t>}</w:t>
    </w:r>
  </w:p>
  <w:p w14:paraId="1DAD9FDB" w14:textId="77777777" w:rsidP="00B6650D" w:rsidR="00B6650D" w:rsidRDefault="00B6650D" w:rsidRPr="00B6650D">
    <w:pPr>
      <w:spacing w:after="0"/>
      <w:jc w:val="both"/>
      <w:rPr>
        <w:rFonts w:cstheme="minorHAnsi"/>
        <w:b/>
        <w:color w:themeColor="text1" w:val="000000"/>
        <w:sz w:val="20"/>
        <w:szCs w:val="20"/>
        <w:lang w:val="ro-RO"/>
      </w:rPr>
    </w:pPr>
    <w:r>
      <w:rPr>
        <w:rFonts w:cstheme="minorHAnsi"/>
        <w:b/>
        <w:color w:themeColor="text1" w:val="000000"/>
        <w:sz w:val="20"/>
        <w:szCs w:val="20"/>
        <w:lang w:val="ro-RO"/>
      </w:rPr>
      <w:t>CUI:</w:t>
    </w:r>
    <w:r>
      <w:rPr>
        <w:rFonts w:cstheme="minorHAnsi"/>
        <w:b/>
        <w:color w:themeColor="text1" w:val="000000"/>
        <w:sz w:val="20"/>
        <w:szCs w:val="20"/>
        <w:lang w:val="ro-RO"/>
      </w:rPr>
      <w:tab/>
    </w:r>
    <w:r>
      <w:rPr>
        <w:rFonts w:cstheme="minorHAnsi"/>
        <w:b/>
        <w:color w:themeColor="text1" w:val="000000"/>
        <w:sz w:val="20"/>
        <w:szCs w:val="20"/>
        <w:lang w:val="ro-RO"/>
      </w:rPr>
      <w:tab/>
      <w:t>{</w:t>
    </w:r>
    <w:proofErr w:type="spellStart"/>
    <w:r>
      <w:rPr>
        <w:rFonts w:cstheme="minorHAnsi"/>
        <w:b/>
        <w:color w:themeColor="text1" w:val="000000"/>
        <w:sz w:val="20"/>
        <w:szCs w:val="20"/>
        <w:lang w:val="ro-RO"/>
      </w:rPr>
      <w:t>a_cui</w:t>
    </w:r>
    <w:proofErr w:type="spellEnd"/>
    <w:r>
      <w:rPr>
        <w:rFonts w:cstheme="minorHAnsi"/>
        <w:b/>
        <w:color w:themeColor="text1" w:val="000000"/>
        <w:sz w:val="20"/>
        <w:szCs w:val="20"/>
        <w:lang w:val="ro-RO"/>
      </w:rPr>
      <w:t>}</w:t>
    </w:r>
  </w:p>
</w:hdr>
</file>

<file path=word/numbering.xml><?xml version="1.0" encoding="utf-8"?>
<w:numbering xmlns:cx="http://schemas.microsoft.com/office/drawing/20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2F2F605A"/>
    <w:multiLevelType w:val="multilevel"/>
    <w:tmpl w:val="73C244B4"/>
    <w:lvl w:ilvl="0">
      <w:start w:val="1"/>
      <w:numFmt w:val="bullet"/>
      <w:lvlText w:val="●"/>
      <w:lvlJc w:val="left"/>
      <w:pPr>
        <w:ind w:firstLine="360" w:left="720"/>
      </w:pPr>
      <w:rPr>
        <w:rFonts w:ascii="Verdana" w:cs="Verdana" w:eastAsia="Verdana" w:hAnsi="Verdana"/>
        <w:sz w:val="17"/>
        <w:szCs w:val="17"/>
        <w:highlight w:val="white"/>
        <w:u w:val="none"/>
      </w:rPr>
    </w:lvl>
    <w:lvl w:ilvl="1">
      <w:start w:val="1"/>
      <w:numFmt w:val="bullet"/>
      <w:lvlText w:val="○"/>
      <w:lvlJc w:val="left"/>
      <w:pPr>
        <w:ind w:firstLine="1080" w:left="1440"/>
      </w:pPr>
      <w:rPr>
        <w:u w:val="none"/>
      </w:rPr>
    </w:lvl>
    <w:lvl w:ilvl="2">
      <w:start w:val="1"/>
      <w:numFmt w:val="bullet"/>
      <w:lvlText w:val="■"/>
      <w:lvlJc w:val="left"/>
      <w:pPr>
        <w:ind w:firstLine="1800" w:left="2160"/>
      </w:pPr>
      <w:rPr>
        <w:u w:val="none"/>
      </w:rPr>
    </w:lvl>
    <w:lvl w:ilvl="3">
      <w:start w:val="1"/>
      <w:numFmt w:val="bullet"/>
      <w:lvlText w:val="●"/>
      <w:lvlJc w:val="left"/>
      <w:pPr>
        <w:ind w:firstLine="2520" w:left="2880"/>
      </w:pPr>
      <w:rPr>
        <w:u w:val="none"/>
      </w:rPr>
    </w:lvl>
    <w:lvl w:ilvl="4">
      <w:start w:val="1"/>
      <w:numFmt w:val="bullet"/>
      <w:lvlText w:val="○"/>
      <w:lvlJc w:val="left"/>
      <w:pPr>
        <w:ind w:firstLine="3240" w:left="3600"/>
      </w:pPr>
      <w:rPr>
        <w:u w:val="none"/>
      </w:rPr>
    </w:lvl>
    <w:lvl w:ilvl="5">
      <w:start w:val="1"/>
      <w:numFmt w:val="bullet"/>
      <w:lvlText w:val="■"/>
      <w:lvlJc w:val="left"/>
      <w:pPr>
        <w:ind w:firstLine="3960" w:left="4320"/>
      </w:pPr>
      <w:rPr>
        <w:u w:val="none"/>
      </w:rPr>
    </w:lvl>
    <w:lvl w:ilvl="6">
      <w:start w:val="1"/>
      <w:numFmt w:val="bullet"/>
      <w:lvlText w:val="●"/>
      <w:lvlJc w:val="left"/>
      <w:pPr>
        <w:ind w:firstLine="4680" w:left="5040"/>
      </w:pPr>
      <w:rPr>
        <w:u w:val="none"/>
      </w:rPr>
    </w:lvl>
    <w:lvl w:ilvl="7">
      <w:start w:val="1"/>
      <w:numFmt w:val="bullet"/>
      <w:lvlText w:val="○"/>
      <w:lvlJc w:val="left"/>
      <w:pPr>
        <w:ind w:firstLine="5400" w:left="5760"/>
      </w:pPr>
      <w:rPr>
        <w:u w:val="none"/>
      </w:rPr>
    </w:lvl>
    <w:lvl w:ilvl="8">
      <w:start w:val="1"/>
      <w:numFmt w:val="bullet"/>
      <w:lvlText w:val="■"/>
      <w:lvlJc w:val="left"/>
      <w:pPr>
        <w:ind w:firstLine="6120" w:left="6480"/>
      </w:pPr>
      <w:rPr>
        <w:u w:val="none"/>
      </w:rPr>
    </w:lvl>
  </w:abstractNum>
  <w:abstractNum w15:restartNumberingAfterBreak="0" w:abstractNumId="1">
    <w:nsid w:val="33086ED1"/>
    <w:multiLevelType w:val="hybridMultilevel"/>
    <w:tmpl w:val="4C4215F2"/>
    <w:lvl w:ilvl="0" w:tplc="51602372">
      <w:start w:val="1"/>
      <w:numFmt w:val="lowerRoman"/>
      <w:lvlText w:val="(%1)"/>
      <w:lvlJc w:val="left"/>
      <w:pPr>
        <w:ind w:hanging="720" w:left="108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440"/>
      </w:pPr>
    </w:lvl>
    <w:lvl w:ilvl="2" w:tentative="1" w:tplc="0409001B">
      <w:start w:val="1"/>
      <w:numFmt w:val="lowerRoman"/>
      <w:lvlText w:val="%3."/>
      <w:lvlJc w:val="right"/>
      <w:pPr>
        <w:ind w:hanging="180" w:left="2160"/>
      </w:pPr>
    </w:lvl>
    <w:lvl w:ilvl="3" w:tentative="1" w:tplc="0409000F">
      <w:start w:val="1"/>
      <w:numFmt w:val="decimal"/>
      <w:lvlText w:val="%4."/>
      <w:lvlJc w:val="left"/>
      <w:pPr>
        <w:ind w:hanging="360" w:left="2880"/>
      </w:pPr>
    </w:lvl>
    <w:lvl w:ilvl="4" w:tentative="1" w:tplc="04090019">
      <w:start w:val="1"/>
      <w:numFmt w:val="lowerLetter"/>
      <w:lvlText w:val="%5."/>
      <w:lvlJc w:val="left"/>
      <w:pPr>
        <w:ind w:hanging="360" w:left="3600"/>
      </w:pPr>
    </w:lvl>
    <w:lvl w:ilvl="5" w:tentative="1" w:tplc="0409001B">
      <w:start w:val="1"/>
      <w:numFmt w:val="lowerRoman"/>
      <w:lvlText w:val="%6."/>
      <w:lvlJc w:val="right"/>
      <w:pPr>
        <w:ind w:hanging="180" w:left="4320"/>
      </w:pPr>
    </w:lvl>
    <w:lvl w:ilvl="6" w:tentative="1" w:tplc="0409000F">
      <w:start w:val="1"/>
      <w:numFmt w:val="decimal"/>
      <w:lvlText w:val="%7."/>
      <w:lvlJc w:val="left"/>
      <w:pPr>
        <w:ind w:hanging="360" w:left="5040"/>
      </w:pPr>
    </w:lvl>
    <w:lvl w:ilvl="7" w:tentative="1" w:tplc="04090019">
      <w:start w:val="1"/>
      <w:numFmt w:val="lowerLetter"/>
      <w:lvlText w:val="%8."/>
      <w:lvlJc w:val="left"/>
      <w:pPr>
        <w:ind w:hanging="360" w:left="5760"/>
      </w:pPr>
    </w:lvl>
    <w:lvl w:ilvl="8" w:tentative="1" w:tplc="0409001B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mc:Ignorable="w14 w15 w16se">
  <w:zoom w:percent="100"/>
  <w:proofState w:grammar="clean"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114"/>
    <w:rsid w:val="000962CD"/>
    <w:rsid w:val="002223E3"/>
    <w:rsid w:val="00396394"/>
    <w:rsid w:val="003E7F74"/>
    <w:rsid w:val="004A3E67"/>
    <w:rsid w:val="00593FD6"/>
    <w:rsid w:val="005B1232"/>
    <w:rsid w:val="00714520"/>
    <w:rsid w:val="00810114"/>
    <w:rsid w:val="00814C3E"/>
    <w:rsid w:val="009E5743"/>
    <w:rsid w:val="00B30BC0"/>
    <w:rsid w:val="00B6650D"/>
    <w:rsid w:val="00BA7B71"/>
    <w:rsid w:val="00BC32E1"/>
    <w:rsid w:val="00CE7BBF"/>
    <w:rsid w:val="00D66AB7"/>
    <w:rsid w:val="00E035D0"/>
    <w:rsid w:val="00F2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  <w14:docId w14:val="2BFCE62D"/>
  <w15:chartTrackingRefBased/>
  <w15:docId w15:val="{942CFCDA-6B55-4108-B87C-3B15EA78A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en-US"/>
      </w:rPr>
    </w:rPrDefault>
    <w:pPrDefault>
      <w:pPr>
        <w:spacing w:after="160" w:line="259" w:lineRule="auto"/>
      </w:pPr>
    </w:pPrDefault>
  </w:docDefaults>
  <w:latentStyles w:count="371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Normal" w:type="paragraph">
    <w:name w:val="Normal"/>
    <w:qFormat/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ListParagraph" w:type="paragraph">
    <w:name w:val="List Paragraph"/>
    <w:basedOn w:val="Normal"/>
    <w:uiPriority w:val="34"/>
    <w:qFormat/>
    <w:rsid w:val="00714520"/>
    <w:pPr>
      <w:ind w:left="720"/>
      <w:contextualSpacing/>
    </w:pPr>
  </w:style>
  <w:style w:styleId="Strong" w:type="character">
    <w:name w:val="Strong"/>
    <w:basedOn w:val="DefaultParagraphFont"/>
    <w:uiPriority w:val="22"/>
    <w:qFormat/>
    <w:rsid w:val="00593FD6"/>
    <w:rPr>
      <w:b/>
      <w:bCs/>
    </w:rPr>
  </w:style>
  <w:style w:styleId="Header" w:type="paragraph">
    <w:name w:val="header"/>
    <w:basedOn w:val="Normal"/>
    <w:link w:val="HeaderChar"/>
    <w:uiPriority w:val="99"/>
    <w:unhideWhenUsed/>
    <w:rsid w:val="00B6650D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B6650D"/>
  </w:style>
  <w:style w:styleId="Footer" w:type="paragraph">
    <w:name w:val="footer"/>
    <w:basedOn w:val="Normal"/>
    <w:link w:val="FooterChar"/>
    <w:uiPriority w:val="99"/>
    <w:unhideWhenUsed/>
    <w:rsid w:val="00B6650D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B6650D"/>
  </w:style>
  <w:style w:styleId="CommentReference" w:type="character">
    <w:name w:val="annotation reference"/>
    <w:basedOn w:val="DefaultParagraphFont"/>
    <w:uiPriority w:val="99"/>
    <w:semiHidden/>
    <w:unhideWhenUsed/>
    <w:rsid w:val="00814C3E"/>
    <w:rPr>
      <w:sz w:val="16"/>
      <w:szCs w:val="16"/>
    </w:rPr>
  </w:style>
  <w:style w:styleId="CommentText" w:type="paragraph">
    <w:name w:val="annotation text"/>
    <w:basedOn w:val="Normal"/>
    <w:link w:val="CommentTextChar"/>
    <w:uiPriority w:val="99"/>
    <w:semiHidden/>
    <w:unhideWhenUsed/>
    <w:rsid w:val="00814C3E"/>
    <w:pPr>
      <w:spacing w:line="240" w:lineRule="auto"/>
    </w:pPr>
    <w:rPr>
      <w:sz w:val="20"/>
      <w:szCs w:val="20"/>
    </w:rPr>
  </w:style>
  <w:style w:customStyle="1" w:styleId="CommentTextChar" w:type="character">
    <w:name w:val="Comment Text Char"/>
    <w:basedOn w:val="DefaultParagraphFont"/>
    <w:link w:val="CommentText"/>
    <w:uiPriority w:val="99"/>
    <w:semiHidden/>
    <w:rsid w:val="00814C3E"/>
    <w:rPr>
      <w:sz w:val="20"/>
      <w:szCs w:val="20"/>
    </w:rPr>
  </w:style>
  <w:style w:styleId="CommentSubject" w:type="paragraph">
    <w:name w:val="annotation subject"/>
    <w:basedOn w:val="CommentText"/>
    <w:next w:val="CommentText"/>
    <w:link w:val="CommentSubjectChar"/>
    <w:uiPriority w:val="99"/>
    <w:semiHidden/>
    <w:unhideWhenUsed/>
    <w:rsid w:val="00814C3E"/>
    <w:rPr>
      <w:b/>
      <w:bCs/>
    </w:rPr>
  </w:style>
  <w:style w:customStyle="1" w:styleId="CommentSubjectChar" w:type="character">
    <w:name w:val="Comment Subject Char"/>
    <w:basedOn w:val="CommentTextChar"/>
    <w:link w:val="CommentSubject"/>
    <w:uiPriority w:val="99"/>
    <w:semiHidden/>
    <w:rsid w:val="00814C3E"/>
    <w:rPr>
      <w:b/>
      <w:bCs/>
      <w:sz w:val="20"/>
      <w:szCs w:val="20"/>
    </w:rPr>
  </w:style>
  <w:style w:styleId="BalloonText" w:type="paragraph">
    <w:name w:val="Balloon Text"/>
    <w:basedOn w:val="Normal"/>
    <w:link w:val="BalloonTextChar"/>
    <w:uiPriority w:val="99"/>
    <w:semiHidden/>
    <w:unhideWhenUsed/>
    <w:rsid w:val="00814C3E"/>
    <w:pPr>
      <w:spacing w:after="0" w:line="240" w:lineRule="auto"/>
    </w:pPr>
    <w:rPr>
      <w:rFonts w:ascii="Segoe UI" w:cs="Segoe UI" w:hAnsi="Segoe UI"/>
      <w:sz w:val="18"/>
      <w:szCs w:val="18"/>
    </w:rPr>
  </w:style>
  <w:style w:customStyle="1" w:styleId="BalloonTextChar" w:type="character">
    <w:name w:val="Balloon Text Char"/>
    <w:basedOn w:val="DefaultParagraphFont"/>
    <w:link w:val="BalloonText"/>
    <w:uiPriority w:val="99"/>
    <w:semiHidden/>
    <w:rsid w:val="00814C3E"/>
    <w:rPr>
      <w:rFonts w:ascii="Segoe UI" w:cs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647938">
      <w:bodyDiv w:val="1"/>
      <w:marLeft w:val="0"/>
      <w:marRight w:val="0"/>
      <w:marTop w:val="0"/>
      <w:marBottom w:val="0"/>
      <w:div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</w:divBdr>
    </w:div>
  </w:divs>
  <w:optimizeForBrowser/>
  <w:allowPNG/>
</w:webSettings>
</file>

<file path=word/_rels/document.xml.rels><Relationships xmlns="http://schemas.openxmlformats.org/package/2006/relationships"><Relationship Id="rId8" Target="fontTable.xml" Type="http://schemas.openxmlformats.org/officeDocument/2006/relationships/fontTable"/><Relationship Id="rId3" Target="settings.xml" Type="http://schemas.openxmlformats.org/officeDocument/2006/relationships/settings"/><Relationship Id="rId7" Target="header1.xml" Type="http://schemas.openxmlformats.org/officeDocument/2006/relationships/header"/><Relationship Id="rId2" Target="styles.xml" Type="http://schemas.openxmlformats.org/officeDocument/2006/relationships/styles"/><Relationship Id="rId1" Target="numbering.xml" Type="http://schemas.openxmlformats.org/officeDocument/2006/relationships/numbering"/><Relationship Id="rId6" Target="endnotes.xml" Type="http://schemas.openxmlformats.org/officeDocument/2006/relationships/endnotes"/><Relationship Id="rId5" Target="footnotes.xml" Type="http://schemas.openxmlformats.org/officeDocument/2006/relationships/footnotes"/><Relationship Id="rId4" Target="webSettings.xml" Type="http://schemas.openxmlformats.org/officeDocument/2006/relationships/webSettings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panose="020F0302020204030204"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panose="020F0502020204030204"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algn="ctr" cap="flat" cmpd="sng" w="6350">
          <a:solidFill>
            <a:schemeClr val="phClr"/>
          </a:solidFill>
          <a:prstDash val="solid"/>
          <a:miter lim="800000"/>
        </a:ln>
        <a:ln algn="ctr" cap="flat" cmpd="sng" w="12700">
          <a:solidFill>
            <a:schemeClr val="phClr"/>
          </a:solidFill>
          <a:prstDash val="solid"/>
          <a:miter lim="800000"/>
        </a:ln>
        <a:ln algn="ctr" cap="flat" cmpd="sng" w="19050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algn="ctr" blurRad="57150" dir="5400000" dist="1905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id="{62F939B6-93AF-4DB8-9C6B-D6C7DFDC589F}" name="Office Theme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5</Pages>
  <Words>2162</Words>
  <Characters>12325</Characters>
  <Application>Microsoft Office Word</Application>
  <DocSecurity>0</DocSecurity>
  <Lines>102</Lines>
  <Paragraphs>28</Paragraphs>
  <ScaleCrop>false</ScaleCrop>
  <HeadingPairs>
    <vt:vector baseType="variant" size="2">
      <vt:variant>
        <vt:lpstr>Title</vt:lpstr>
      </vt:variant>
      <vt:variant>
        <vt:i4>1</vt:i4>
      </vt:variant>
    </vt:vector>
  </HeadingPairs>
  <TitlesOfParts>
    <vt:vector baseType="lpstr" size="1">
      <vt:lpstr/>
    </vt:vector>
  </TitlesOfParts>
  <Company>diakov.net</Company>
  <LinksUpToDate>false</LinksUpToDate>
  <CharactersWithSpaces>14459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Euro Smart DPO</dc:creator>
  <cp:keywords/>
  <dc:description/>
  <cp:lastModifiedBy>Euro Smart DPO</cp:lastModifiedBy>
  <cp:revision>6</cp:revision>
  <dcterms:created xsi:type="dcterms:W3CDTF">2026-06-14T17:26:00Z</dcterms:created>
  <dcterms:modified xsi:type="dcterms:W3CDTF">2026-06-15T14:43:00Z</dcterms:modified>
</cp:coreProperties>
</file>